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8F" w:rsidRPr="002D0B81" w:rsidRDefault="002B2E8F" w:rsidP="006A71D1">
      <w:pPr>
        <w:pStyle w:val="1"/>
        <w:spacing w:before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ПРОГРАММА</w:t>
      </w:r>
    </w:p>
    <w:p w:rsidR="002B2E8F" w:rsidRPr="002D0B81" w:rsidRDefault="002B2E8F" w:rsidP="002D0B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кафедры «Безопасность жизнедеятельности» </w:t>
      </w:r>
      <w:r w:rsidR="005D1349">
        <w:rPr>
          <w:rFonts w:ascii="Times New Roman" w:hAnsi="Times New Roman" w:cs="Times New Roman"/>
          <w:color w:val="000000" w:themeColor="text1"/>
          <w:sz w:val="24"/>
          <w:szCs w:val="24"/>
        </w:rPr>
        <w:t>(БЖ)</w:t>
      </w:r>
    </w:p>
    <w:p w:rsidR="002B2E8F" w:rsidRPr="002D0B81" w:rsidRDefault="002B2E8F" w:rsidP="002D0B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на период 2017 – 2021 гг.</w:t>
      </w:r>
    </w:p>
    <w:p w:rsidR="002B2E8F" w:rsidRPr="002D0B81" w:rsidRDefault="002B2E8F" w:rsidP="002D0B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кандидата на должность заведующего </w:t>
      </w:r>
      <w:r w:rsidR="005D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кафедрой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д.т.н., </w:t>
      </w:r>
      <w:r w:rsidR="004016B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профессора каф. БЖ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Середа Т.Г.</w:t>
      </w:r>
    </w:p>
    <w:p w:rsidR="002B2E8F" w:rsidRPr="002D0B81" w:rsidRDefault="002B2E8F" w:rsidP="002D0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 w:themeColor="text1"/>
        </w:rPr>
      </w:pPr>
    </w:p>
    <w:p w:rsidR="006A71D1" w:rsidRDefault="006A71D1" w:rsidP="002D0B81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770" w:rsidRDefault="00F97223" w:rsidP="002D0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Цель программы – </w:t>
      </w:r>
      <w:r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интенсификация </w:t>
      </w:r>
      <w:r w:rsidR="005E577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повы</w:t>
      </w:r>
      <w:r w:rsidR="0071476D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ш</w:t>
      </w:r>
      <w:r w:rsidR="005E577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ение конкурентноспособности </w:t>
      </w:r>
      <w:r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научно-исследовательской</w:t>
      </w:r>
      <w:r w:rsidR="004016BD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B3D1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образовательной и инновационной деятельности</w:t>
      </w:r>
      <w:r w:rsidR="004016B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 w:rsidR="00CB3D1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5E577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используя</w:t>
      </w:r>
      <w:r w:rsidR="0071476D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накопленный опыт и </w:t>
      </w:r>
      <w:r w:rsidR="005E577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потенциал </w:t>
      </w:r>
      <w:r w:rsidR="0071476D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научно</w:t>
      </w:r>
      <w:r w:rsidR="00CB3D1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-педа</w:t>
      </w:r>
      <w:r w:rsidR="003557D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гогического</w:t>
      </w:r>
      <w:r w:rsidR="005E577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557D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работников</w:t>
      </w:r>
      <w:r w:rsidR="00CB3D1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E577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кафедры</w:t>
      </w:r>
      <w:r w:rsidR="003557D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5E5770" w:rsidRPr="002D0B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руководствуясь </w:t>
      </w:r>
      <w:r w:rsidR="005E5770" w:rsidRPr="002D0B81">
        <w:rPr>
          <w:rFonts w:ascii="Times New Roman" w:hAnsi="Times New Roman" w:cs="Times New Roman"/>
          <w:sz w:val="24"/>
          <w:szCs w:val="24"/>
        </w:rPr>
        <w:t>генеральной линией и стратегией развития университета.</w:t>
      </w:r>
    </w:p>
    <w:p w:rsidR="006A71D1" w:rsidRPr="002D0B81" w:rsidRDefault="006A71D1" w:rsidP="002D0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1D7A" w:rsidRPr="002D0B81" w:rsidRDefault="005E5770" w:rsidP="005D134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color w:val="000000" w:themeColor="text1"/>
        </w:rPr>
      </w:pPr>
      <w:r w:rsidRPr="002D0B81">
        <w:rPr>
          <w:rStyle w:val="a4"/>
          <w:color w:val="000000" w:themeColor="text1"/>
        </w:rPr>
        <w:t>Характеристика исторического развития кафедр</w:t>
      </w:r>
      <w:r w:rsidR="003B0653">
        <w:rPr>
          <w:rStyle w:val="a4"/>
          <w:color w:val="000000" w:themeColor="text1"/>
        </w:rPr>
        <w:t>ы</w:t>
      </w:r>
      <w:r w:rsidRPr="002D0B81">
        <w:rPr>
          <w:rStyle w:val="a4"/>
          <w:color w:val="000000" w:themeColor="text1"/>
        </w:rPr>
        <w:t xml:space="preserve"> и личного участия. Проблемы, стоящие перед кафедрой</w:t>
      </w:r>
      <w:r w:rsidR="00CB3D10" w:rsidRPr="002D0B81">
        <w:rPr>
          <w:rStyle w:val="a4"/>
          <w:color w:val="000000" w:themeColor="text1"/>
        </w:rPr>
        <w:t xml:space="preserve">  </w:t>
      </w:r>
    </w:p>
    <w:p w:rsidR="00CB3D10" w:rsidRPr="002D0B81" w:rsidRDefault="00CB3D10" w:rsidP="002D0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D0B81">
        <w:rPr>
          <w:color w:val="000000" w:themeColor="text1"/>
        </w:rPr>
        <w:t>Кафедра берет свое начало с</w:t>
      </w:r>
      <w:r w:rsidR="00611D7A" w:rsidRPr="002D0B81">
        <w:rPr>
          <w:color w:val="000000" w:themeColor="text1"/>
        </w:rPr>
        <w:t xml:space="preserve"> 1960 г.</w:t>
      </w:r>
      <w:r w:rsidRPr="002D0B81">
        <w:rPr>
          <w:color w:val="000000" w:themeColor="text1"/>
        </w:rPr>
        <w:t xml:space="preserve"> из существующей кафедры </w:t>
      </w:r>
      <w:r w:rsidR="00611D7A" w:rsidRPr="002D0B81">
        <w:rPr>
          <w:color w:val="000000" w:themeColor="text1"/>
        </w:rPr>
        <w:t>«Разработка месторождений полезных ископаемых»</w:t>
      </w:r>
      <w:r w:rsidRPr="002D0B81">
        <w:rPr>
          <w:color w:val="000000" w:themeColor="text1"/>
        </w:rPr>
        <w:t>,</w:t>
      </w:r>
      <w:r w:rsidR="002B2E8F" w:rsidRPr="002D0B81">
        <w:rPr>
          <w:color w:val="000000" w:themeColor="text1"/>
        </w:rPr>
        <w:t xml:space="preserve"> </w:t>
      </w:r>
      <w:r w:rsidR="00611D7A" w:rsidRPr="002D0B81">
        <w:rPr>
          <w:color w:val="000000" w:themeColor="text1"/>
        </w:rPr>
        <w:t>выдел</w:t>
      </w:r>
      <w:r w:rsidR="004016BD" w:rsidRPr="002D0B81">
        <w:rPr>
          <w:color w:val="000000" w:themeColor="text1"/>
        </w:rPr>
        <w:t>ившись в</w:t>
      </w:r>
      <w:r w:rsidR="00611D7A" w:rsidRPr="002D0B81">
        <w:rPr>
          <w:color w:val="000000" w:themeColor="text1"/>
        </w:rPr>
        <w:t xml:space="preserve"> </w:t>
      </w:r>
      <w:r w:rsidR="00E45E4E" w:rsidRPr="002D0B81">
        <w:rPr>
          <w:color w:val="000000" w:themeColor="text1"/>
        </w:rPr>
        <w:t xml:space="preserve"> 1961 году в </w:t>
      </w:r>
      <w:r w:rsidR="00611D7A" w:rsidRPr="002D0B81">
        <w:rPr>
          <w:color w:val="000000" w:themeColor="text1"/>
        </w:rPr>
        <w:t>кафедр</w:t>
      </w:r>
      <w:r w:rsidR="004016BD" w:rsidRPr="002D0B81">
        <w:rPr>
          <w:color w:val="000000" w:themeColor="text1"/>
        </w:rPr>
        <w:t>у</w:t>
      </w:r>
      <w:r w:rsidR="00611D7A" w:rsidRPr="002D0B81">
        <w:rPr>
          <w:color w:val="000000" w:themeColor="text1"/>
        </w:rPr>
        <w:t xml:space="preserve"> «Рудничная вентиляция и техника безопасности»</w:t>
      </w:r>
      <w:r w:rsidRPr="002D0B81">
        <w:rPr>
          <w:color w:val="000000" w:themeColor="text1"/>
        </w:rPr>
        <w:t xml:space="preserve"> под  руководством </w:t>
      </w:r>
      <w:r w:rsidR="00611D7A" w:rsidRPr="002D0B81">
        <w:rPr>
          <w:color w:val="000000" w:themeColor="text1"/>
        </w:rPr>
        <w:t>заведующ</w:t>
      </w:r>
      <w:r w:rsidRPr="002D0B81">
        <w:rPr>
          <w:color w:val="000000" w:themeColor="text1"/>
        </w:rPr>
        <w:t>его</w:t>
      </w:r>
      <w:r w:rsidR="00611D7A" w:rsidRPr="002D0B81">
        <w:rPr>
          <w:color w:val="000000" w:themeColor="text1"/>
        </w:rPr>
        <w:t xml:space="preserve"> кафедрой кандидат</w:t>
      </w:r>
      <w:r w:rsidRPr="002D0B81">
        <w:rPr>
          <w:color w:val="000000" w:themeColor="text1"/>
        </w:rPr>
        <w:t>а</w:t>
      </w:r>
      <w:r w:rsidR="00611D7A" w:rsidRPr="002D0B81">
        <w:rPr>
          <w:color w:val="000000" w:themeColor="text1"/>
        </w:rPr>
        <w:t xml:space="preserve"> технических наук, доцент</w:t>
      </w:r>
      <w:r w:rsidRPr="002D0B81">
        <w:rPr>
          <w:color w:val="000000" w:themeColor="text1"/>
        </w:rPr>
        <w:t xml:space="preserve">а </w:t>
      </w:r>
      <w:r w:rsidR="00611D7A" w:rsidRPr="002D0B81">
        <w:rPr>
          <w:color w:val="000000" w:themeColor="text1"/>
        </w:rPr>
        <w:t xml:space="preserve"> И.И. Медведев</w:t>
      </w:r>
      <w:r w:rsidRPr="002D0B81">
        <w:rPr>
          <w:color w:val="000000" w:themeColor="text1"/>
        </w:rPr>
        <w:t>а</w:t>
      </w:r>
      <w:r w:rsidR="00611D7A" w:rsidRPr="002D0B81">
        <w:rPr>
          <w:color w:val="000000" w:themeColor="text1"/>
        </w:rPr>
        <w:t>. Через не</w:t>
      </w:r>
      <w:r w:rsidRPr="002D0B81">
        <w:rPr>
          <w:color w:val="000000" w:themeColor="text1"/>
        </w:rPr>
        <w:t>к</w:t>
      </w:r>
      <w:r w:rsidR="00611D7A" w:rsidRPr="002D0B81">
        <w:rPr>
          <w:color w:val="000000" w:themeColor="text1"/>
        </w:rPr>
        <w:t>о</w:t>
      </w:r>
      <w:r w:rsidRPr="002D0B81">
        <w:rPr>
          <w:color w:val="000000" w:themeColor="text1"/>
        </w:rPr>
        <w:t>т</w:t>
      </w:r>
      <w:r w:rsidR="00611D7A" w:rsidRPr="002D0B81">
        <w:rPr>
          <w:color w:val="000000" w:themeColor="text1"/>
        </w:rPr>
        <w:t>о</w:t>
      </w:r>
      <w:r w:rsidRPr="002D0B81">
        <w:rPr>
          <w:color w:val="000000" w:themeColor="text1"/>
        </w:rPr>
        <w:t>ро</w:t>
      </w:r>
      <w:r w:rsidR="00611D7A" w:rsidRPr="002D0B81">
        <w:rPr>
          <w:color w:val="000000" w:themeColor="text1"/>
        </w:rPr>
        <w:t>е</w:t>
      </w:r>
      <w:r w:rsidRPr="002D0B81">
        <w:rPr>
          <w:color w:val="000000" w:themeColor="text1"/>
        </w:rPr>
        <w:t xml:space="preserve"> </w:t>
      </w:r>
      <w:r w:rsidR="00611D7A" w:rsidRPr="002D0B81">
        <w:rPr>
          <w:color w:val="000000" w:themeColor="text1"/>
        </w:rPr>
        <w:t>время кафедра сменила свое название на «Охрана труда и рудничная вентиляция».</w:t>
      </w:r>
      <w:r w:rsidR="00DE4739" w:rsidRPr="002D0B81">
        <w:rPr>
          <w:color w:val="000000" w:themeColor="text1"/>
        </w:rPr>
        <w:t xml:space="preserve"> </w:t>
      </w:r>
      <w:r w:rsidR="00611D7A" w:rsidRPr="002D0B81">
        <w:rPr>
          <w:color w:val="000000" w:themeColor="text1"/>
        </w:rPr>
        <w:t xml:space="preserve">В 1994 году путем слияния кафедр «Гражданская оборона» и «Охрана труда и рудничная вентиляция» образовалась кафедра «Безопасность жизнедеятельности и рудничная вентиляция». С 1 января 2005 года кафедра была переименована в кафедру «Безопасность жизнедеятельности». </w:t>
      </w:r>
    </w:p>
    <w:p w:rsidR="00DE4739" w:rsidRPr="002D0B81" w:rsidRDefault="00DE4739" w:rsidP="002D0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D0B81">
        <w:rPr>
          <w:color w:val="000000" w:themeColor="text1"/>
        </w:rPr>
        <w:t>Работая на кафедре почти 18 лет с 1999 года, когда она носила название «Безопасность жизнедеятельности и рудничная вентиляция», возглавляемой</w:t>
      </w:r>
      <w:r w:rsidR="0025118A" w:rsidRPr="002D0B81">
        <w:rPr>
          <w:color w:val="000000" w:themeColor="text1"/>
        </w:rPr>
        <w:t xml:space="preserve"> доктором те</w:t>
      </w:r>
      <w:r w:rsidR="00E63A80" w:rsidRPr="002D0B81">
        <w:rPr>
          <w:color w:val="000000" w:themeColor="text1"/>
        </w:rPr>
        <w:t>хнических наук,</w:t>
      </w:r>
      <w:r w:rsidRPr="002D0B81">
        <w:rPr>
          <w:color w:val="000000" w:themeColor="text1"/>
        </w:rPr>
        <w:t xml:space="preserve"> проф. Н.Н. Мохиревым была свидетелем и участником основных событий кафедры, вместе с коллективом </w:t>
      </w:r>
      <w:r w:rsidR="003557D3">
        <w:rPr>
          <w:color w:val="000000" w:themeColor="text1"/>
        </w:rPr>
        <w:t xml:space="preserve">мы </w:t>
      </w:r>
      <w:r w:rsidRPr="002D0B81">
        <w:rPr>
          <w:color w:val="000000" w:themeColor="text1"/>
        </w:rPr>
        <w:t>решал</w:t>
      </w:r>
      <w:r w:rsidR="003557D3">
        <w:rPr>
          <w:color w:val="000000" w:themeColor="text1"/>
        </w:rPr>
        <w:t>и</w:t>
      </w:r>
      <w:r w:rsidRPr="002D0B81">
        <w:rPr>
          <w:color w:val="000000" w:themeColor="text1"/>
        </w:rPr>
        <w:t xml:space="preserve"> поставленные задачи и проблемы. </w:t>
      </w:r>
      <w:r w:rsidR="001D2681" w:rsidRPr="002D0B81">
        <w:rPr>
          <w:color w:val="000000" w:themeColor="text1"/>
        </w:rPr>
        <w:t xml:space="preserve">С преобразованием кафедры с новым названием «Безопасность жизнедеятельности» и приходом </w:t>
      </w:r>
      <w:r w:rsidR="00E63A80" w:rsidRPr="002D0B81">
        <w:rPr>
          <w:color w:val="000000" w:themeColor="text1"/>
        </w:rPr>
        <w:t xml:space="preserve">в 2005 году </w:t>
      </w:r>
      <w:r w:rsidR="001D2681" w:rsidRPr="002D0B81">
        <w:rPr>
          <w:color w:val="000000" w:themeColor="text1"/>
        </w:rPr>
        <w:t>к руководству</w:t>
      </w:r>
      <w:r w:rsidR="00E63A80" w:rsidRPr="002D0B81">
        <w:rPr>
          <w:color w:val="000000" w:themeColor="text1"/>
        </w:rPr>
        <w:t xml:space="preserve"> доктора технических наук, </w:t>
      </w:r>
      <w:r w:rsidR="001D2681" w:rsidRPr="002D0B81">
        <w:rPr>
          <w:color w:val="000000" w:themeColor="text1"/>
        </w:rPr>
        <w:t>проф. В.А Трефилова</w:t>
      </w:r>
      <w:r w:rsidR="00E63A80" w:rsidRPr="002D0B81">
        <w:rPr>
          <w:color w:val="000000" w:themeColor="text1"/>
        </w:rPr>
        <w:t xml:space="preserve"> </w:t>
      </w:r>
      <w:r w:rsidR="001D2681" w:rsidRPr="002D0B81">
        <w:rPr>
          <w:color w:val="000000" w:themeColor="text1"/>
        </w:rPr>
        <w:t>существенно трансформировался  состав и</w:t>
      </w:r>
      <w:r w:rsidR="002246D5" w:rsidRPr="002D0B81">
        <w:rPr>
          <w:color w:val="000000" w:themeColor="text1"/>
        </w:rPr>
        <w:t xml:space="preserve"> повысился</w:t>
      </w:r>
      <w:r w:rsidR="001D2681" w:rsidRPr="002D0B81">
        <w:rPr>
          <w:color w:val="000000" w:themeColor="text1"/>
        </w:rPr>
        <w:t xml:space="preserve"> </w:t>
      </w:r>
      <w:r w:rsidR="002246D5" w:rsidRPr="002D0B81">
        <w:rPr>
          <w:color w:val="000000" w:themeColor="text1"/>
        </w:rPr>
        <w:t xml:space="preserve">по </w:t>
      </w:r>
      <w:r w:rsidR="001D2681" w:rsidRPr="002D0B81">
        <w:rPr>
          <w:color w:val="000000" w:themeColor="text1"/>
        </w:rPr>
        <w:t>квалификационным показателям уровень кафедры. Пройдя свой путь на кафедр</w:t>
      </w:r>
      <w:r w:rsidR="00B54292" w:rsidRPr="002D0B81">
        <w:rPr>
          <w:color w:val="000000" w:themeColor="text1"/>
        </w:rPr>
        <w:t xml:space="preserve">е от ассистента до доцента (2000 </w:t>
      </w:r>
      <w:r w:rsidR="001D2681" w:rsidRPr="002D0B81">
        <w:rPr>
          <w:color w:val="000000" w:themeColor="text1"/>
        </w:rPr>
        <w:t>г.), а затем до профессора (2007</w:t>
      </w:r>
      <w:r w:rsidR="00692795">
        <w:rPr>
          <w:color w:val="000000" w:themeColor="text1"/>
        </w:rPr>
        <w:t xml:space="preserve"> </w:t>
      </w:r>
      <w:r w:rsidR="001D2681" w:rsidRPr="002D0B81">
        <w:rPr>
          <w:color w:val="000000" w:themeColor="text1"/>
        </w:rPr>
        <w:t xml:space="preserve">г.), </w:t>
      </w:r>
      <w:r w:rsidR="002246D5" w:rsidRPr="002D0B81">
        <w:rPr>
          <w:color w:val="000000" w:themeColor="text1"/>
        </w:rPr>
        <w:t xml:space="preserve">хочу выразить благодарность </w:t>
      </w:r>
      <w:r w:rsidR="002246D5" w:rsidRPr="002D0B81">
        <w:rPr>
          <w:b/>
          <w:color w:val="000000" w:themeColor="text1"/>
        </w:rPr>
        <w:t>всем коллегам кафедры</w:t>
      </w:r>
      <w:r w:rsidR="002246D5" w:rsidRPr="002D0B81">
        <w:rPr>
          <w:color w:val="000000" w:themeColor="text1"/>
        </w:rPr>
        <w:t>, в частности,</w:t>
      </w:r>
      <w:r w:rsidR="001D2681" w:rsidRPr="002D0B81">
        <w:rPr>
          <w:color w:val="000000" w:themeColor="text1"/>
        </w:rPr>
        <w:t xml:space="preserve"> </w:t>
      </w:r>
      <w:r w:rsidR="002246D5" w:rsidRPr="002D0B81">
        <w:rPr>
          <w:color w:val="000000" w:themeColor="text1"/>
        </w:rPr>
        <w:t xml:space="preserve">нашим ветеранам ПНИПУ доцентам  Л.М. Веденеевой  и О.В. Лонскому, за созданный ими комфортный морально-психологический климат, поддерживаемый на протяжении многих лет, за </w:t>
      </w:r>
      <w:r w:rsidR="0025118A" w:rsidRPr="002D0B81">
        <w:rPr>
          <w:color w:val="000000" w:themeColor="text1"/>
        </w:rPr>
        <w:t xml:space="preserve">терпимость и </w:t>
      </w:r>
      <w:r w:rsidR="002246D5" w:rsidRPr="002D0B81">
        <w:rPr>
          <w:color w:val="000000" w:themeColor="text1"/>
        </w:rPr>
        <w:t xml:space="preserve">помощь </w:t>
      </w:r>
      <w:r w:rsidR="0025118A" w:rsidRPr="002D0B81">
        <w:rPr>
          <w:color w:val="000000" w:themeColor="text1"/>
        </w:rPr>
        <w:t>оказываемую мне в разные периоды работы на кафедре.</w:t>
      </w:r>
      <w:r w:rsidR="002246D5" w:rsidRPr="002D0B81">
        <w:rPr>
          <w:color w:val="000000" w:themeColor="text1"/>
        </w:rPr>
        <w:t xml:space="preserve"> </w:t>
      </w:r>
      <w:r w:rsidR="001D2681" w:rsidRPr="002D0B81">
        <w:rPr>
          <w:color w:val="000000" w:themeColor="text1"/>
        </w:rPr>
        <w:t xml:space="preserve"> </w:t>
      </w:r>
    </w:p>
    <w:p w:rsidR="00611D7A" w:rsidRPr="002D0B81" w:rsidRDefault="00DE4739" w:rsidP="002D0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D0B81">
        <w:rPr>
          <w:color w:val="000000" w:themeColor="text1"/>
        </w:rPr>
        <w:t>В настоящее время н</w:t>
      </w:r>
      <w:r w:rsidR="00CB3D10" w:rsidRPr="002D0B81">
        <w:rPr>
          <w:color w:val="000000" w:themeColor="text1"/>
        </w:rPr>
        <w:t xml:space="preserve">а кафедре готовят бакалавров и магистров </w:t>
      </w:r>
      <w:r w:rsidR="004016BD" w:rsidRPr="002D0B81">
        <w:rPr>
          <w:color w:val="000000" w:themeColor="text1"/>
        </w:rPr>
        <w:t xml:space="preserve">по </w:t>
      </w:r>
      <w:r w:rsidR="00FA5049" w:rsidRPr="002D0B81">
        <w:rPr>
          <w:color w:val="000000" w:themeColor="text1"/>
        </w:rPr>
        <w:t>3</w:t>
      </w:r>
      <w:r w:rsidR="00E63A80" w:rsidRPr="002D0B81">
        <w:rPr>
          <w:color w:val="000000" w:themeColor="text1"/>
        </w:rPr>
        <w:t xml:space="preserve"> образовательным программам, </w:t>
      </w:r>
      <w:r w:rsidR="00611D7A" w:rsidRPr="002D0B81">
        <w:rPr>
          <w:color w:val="000000" w:themeColor="text1"/>
        </w:rPr>
        <w:t>ведётся подготовка аспирантов по специальностям:</w:t>
      </w:r>
    </w:p>
    <w:p w:rsidR="00611D7A" w:rsidRPr="002D0B81" w:rsidRDefault="00611D7A" w:rsidP="002D0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05.26.01 – «Охрана труда»</w:t>
      </w:r>
      <w:r w:rsidR="004016BD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1D7A" w:rsidRPr="002D0B81" w:rsidRDefault="00611D7A" w:rsidP="002D0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05.26.03 – «Пожарн</w:t>
      </w:r>
      <w:r w:rsidR="004016BD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 и промышленная безопасность»;</w:t>
      </w:r>
    </w:p>
    <w:p w:rsidR="00930A6B" w:rsidRPr="002D0B81" w:rsidRDefault="00930A6B" w:rsidP="002D0B8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Научный руководитель д.т.н</w:t>
      </w:r>
      <w:r w:rsidR="00FA5049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проф. В.А. Трефилов</w:t>
      </w:r>
      <w:r w:rsidR="00BD6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10436" w:rsidRPr="002D0B81" w:rsidRDefault="00B10436" w:rsidP="002D0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13.00.08</w:t>
      </w:r>
      <w:r w:rsidR="00E90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«Теория и методика профессионального образования» (Техносферная безопасность и формирование культуры</w:t>
      </w:r>
      <w:r w:rsidR="004016BD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безопасности жизнедеятельности</w:t>
      </w: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16BD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30A6B" w:rsidRPr="002D0B81" w:rsidRDefault="00930A6B" w:rsidP="002D0B81">
      <w:pPr>
        <w:pStyle w:val="a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Научный руководитель д.п.н</w:t>
      </w:r>
      <w:r w:rsidR="00FA5049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проф. И.Г. Долинина</w:t>
      </w:r>
      <w:r w:rsidR="00BD6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570A" w:rsidRPr="002D0B81" w:rsidRDefault="00611D7A" w:rsidP="002D0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кафедре создан Центр дополнительного образования «Рис</w:t>
      </w:r>
      <w:r w:rsidR="00422B00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и промышленная безопасность», </w:t>
      </w:r>
      <w:r w:rsidR="00930A6B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5049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возглавляемый </w:t>
      </w:r>
      <w:r w:rsidR="00930A6B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молодым и перспективным доцентом кафедры,</w:t>
      </w:r>
      <w:r w:rsidR="00422B00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к.т.н. </w:t>
      </w:r>
      <w:r w:rsidR="00930A6B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М.Ю.</w:t>
      </w:r>
      <w:r w:rsidR="00422B00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0436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Лисков</w:t>
      </w:r>
      <w:r w:rsidR="004016BD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422B00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2B00" w:rsidRPr="002D0B81" w:rsidRDefault="00422B00" w:rsidP="002D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137B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текущий момент на кафедре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сформировался </w:t>
      </w:r>
      <w:r w:rsidR="004016B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высоко</w:t>
      </w:r>
      <w:r w:rsidR="002F6CD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016B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квалифированный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профессорско-преподавательский состав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(всего 26 НПР, из них 19 штатных НПР)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включающий в </w:t>
      </w:r>
      <w:r w:rsidR="00930A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штатный состав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A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докторов и </w:t>
      </w:r>
      <w:r w:rsidR="00FA504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кандидатов наук по основным 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научным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 кафедры</w:t>
      </w:r>
      <w:r w:rsidR="00E3172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1136" w:rsidRPr="002D0B81" w:rsidRDefault="00FA5049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научными направлениями продвигаемыми профессорами  кафедры д.м.н Н.Л. Вишневской, д.т.н К.А. Черн</w:t>
      </w:r>
      <w:r w:rsidR="006D72EE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д.ф-м.н. </w:t>
      </w:r>
      <w:r w:rsidR="006D72EE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Г.Б. Лялькиной, </w:t>
      </w:r>
      <w:r w:rsidR="006D72EE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д.т.н. В.А. Трефиловым, д.т.н.</w:t>
      </w:r>
      <w:r w:rsidR="006D72EE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С.Н. Костаревым, </w:t>
      </w:r>
      <w:r w:rsidR="006D72EE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д.т.н</w:t>
      </w:r>
      <w:r w:rsidR="006D72EE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Т.Г. Середа,</w:t>
      </w:r>
      <w:r w:rsidR="006D72EE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д.т.н.</w:t>
      </w:r>
      <w:r w:rsidR="006D72EE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Г.А. Цветковым,</w:t>
      </w:r>
      <w:r w:rsidR="006D72EE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д.п.н., проф. И.Г. Долининой  являются следующие</w:t>
      </w:r>
      <w:r w:rsidR="006D72EE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2F6CD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гигиена и медицина труда; </w:t>
      </w:r>
      <w:r w:rsidR="002F6CD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F6CD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храна труда и промышленная безопасность; </w:t>
      </w:r>
      <w:r w:rsidR="002F6CD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F6CD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истема мене</w:t>
      </w:r>
      <w:r w:rsidR="006D72EE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джмента охраной труда и безопасностью производства</w:t>
      </w:r>
      <w:r w:rsidR="0082714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D72EE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нелинейный анализ и математическое моделирование в техносферной безопасности</w:t>
      </w:r>
      <w:r w:rsidR="0082714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D72EE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истемный  анализ и  управление в организационно-технических системах</w:t>
      </w:r>
      <w:r w:rsidR="00827149" w:rsidRPr="002D0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автоматизированное управление технологическими процессами на природных и технических системах</w:t>
      </w:r>
      <w:r w:rsidR="00827149" w:rsidRPr="002D0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безопасность  технологических  процессов  при  утилизации и хранении антропогенных отходов на  урбанизированных территориях</w:t>
      </w:r>
      <w:r w:rsidR="00827149" w:rsidRPr="002D0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АСУ сложными системами с использованием приборов и средств инерциальной навигации, п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рофессиональное образование в области безопасности жизнедеятельности</w:t>
      </w:r>
      <w:r w:rsidR="007137B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</w:t>
      </w:r>
    </w:p>
    <w:p w:rsidR="009B657D" w:rsidRPr="002D0B81" w:rsidRDefault="009B657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Кафедра успешно сотрудничает с промышленными предприятиями и </w:t>
      </w:r>
      <w:r w:rsidR="00B03BA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государственными структурами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Пермского края и других регионов России</w:t>
      </w:r>
      <w:r w:rsidR="00B03BA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3BAD" w:rsidRPr="002D0B81" w:rsidRDefault="00B03BA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 магистратуры, бакалавриата, а также аспиранты представляют свои доклады на Российских и 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еждународных научных конференциях.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раз в </w:t>
      </w:r>
      <w:r w:rsidR="00A677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проводится Международн</w:t>
      </w:r>
      <w:r w:rsidR="00A677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</w:t>
      </w:r>
      <w:r w:rsidR="00A677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ая конференция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в котор</w:t>
      </w:r>
      <w:r w:rsidR="005D1349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принимают участие российские и зарубежные ученые</w:t>
      </w:r>
      <w:r w:rsidR="008C4C0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в частности</w:t>
      </w:r>
      <w:r w:rsidR="000A113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сотрудники те</w:t>
      </w:r>
      <w:r w:rsidR="008C4C0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хнического университета г.</w:t>
      </w:r>
      <w:r w:rsidR="002F6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C0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Острава, Чешской республики.</w:t>
      </w:r>
    </w:p>
    <w:p w:rsidR="00B03BAD" w:rsidRPr="002D0B81" w:rsidRDefault="00B03BA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стабильную многолетнюю работу коллектива кафедры,  существует ряд существенных проблем, определяющих задачи, стоящие перед кафедрой на пятилетний период:</w:t>
      </w:r>
    </w:p>
    <w:p w:rsidR="00B03BAD" w:rsidRPr="002D0B81" w:rsidRDefault="00B03BA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падение престижа специальности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 бюджетных мест, что приводит к снижению учебной нагрузки для </w:t>
      </w:r>
      <w:r w:rsidR="008C4C0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НПР</w:t>
      </w:r>
      <w:r w:rsidR="001E3F9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C0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кафедры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7195D" w:rsidRPr="002D0B81" w:rsidRDefault="0047195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тенденция снижения количества защит кандидатских и докторских диссертаций</w:t>
      </w:r>
      <w:r w:rsidR="00355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НПР кафедры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4C06" w:rsidRPr="002D0B81" w:rsidRDefault="008C4C06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низкий процент -</w:t>
      </w:r>
      <w:r w:rsidR="001E3F9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11% молодых НПР, в возрасте до 40 лет</w:t>
      </w:r>
    </w:p>
    <w:p w:rsidR="00971C8A" w:rsidRPr="002D0B81" w:rsidRDefault="00971C8A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снижение публикационной активности 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НПР кафедры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 международных изданиях (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WoS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7195D" w:rsidRPr="002D0B81" w:rsidRDefault="0047195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- низкая эффективность участия сотрудников кафедры в конкурсах и грантах, организуемых Минобрнауки</w:t>
      </w:r>
      <w:r w:rsidR="002B2E8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="0051324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РФФИ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научными фондами, хоздоговорных и госбюджетных НИР.</w:t>
      </w:r>
    </w:p>
    <w:p w:rsidR="0047195D" w:rsidRPr="002D0B81" w:rsidRDefault="0047195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Это обусловлено с одной стороны спецификой основных направлений кафедры и</w:t>
      </w:r>
      <w:r w:rsidR="00A72F0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недостаточной межвузовской и межкафедральной коопераци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которая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овала бы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успешному получению грантов и заключению </w:t>
      </w:r>
      <w:r w:rsidR="0051324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хоз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51324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ных работ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предприятиями.</w:t>
      </w:r>
    </w:p>
    <w:p w:rsidR="00651F27" w:rsidRPr="002D0B81" w:rsidRDefault="007B03B5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Вышеуказанные проблемы 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научно-образовательной деятельности кафедры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связаны 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как с трудностью проведения фундаментальных исследований</w:t>
      </w:r>
      <w:r w:rsidR="005E55B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отсутствием специального оборудования для исследований на кафедре, со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специфик</w:t>
      </w:r>
      <w:r w:rsidR="005E55B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исследований в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узком направлении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7325B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деятельности человека, в частности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 области охраны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труда, </w:t>
      </w:r>
      <w:r w:rsidR="0051324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1324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</w:t>
      </w:r>
      <w:r w:rsidR="0051324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проработанность</w:t>
      </w:r>
      <w:r w:rsidR="0051324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возможных направлений НИР по </w:t>
      </w:r>
      <w:r w:rsidR="0047195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техносферн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ой безопасности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55B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объективных процессов, связанных 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демографическ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экономическ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стране. Данные проблемы могут быть решены </w:t>
      </w:r>
      <w:r w:rsidR="0051324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интенсификации </w:t>
      </w:r>
      <w:r w:rsidR="00971C8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по основным направлениям кафедры</w:t>
      </w:r>
      <w:r w:rsidR="0037375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1F27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25B1" w:rsidRDefault="00FC4AA3" w:rsidP="002D0B81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Блок 1. </w:t>
      </w:r>
      <w:r w:rsidR="007325B1" w:rsidRPr="002D0B81">
        <w:rPr>
          <w:rFonts w:ascii="Times New Roman" w:hAnsi="Times New Roman" w:cs="Times New Roman"/>
          <w:sz w:val="24"/>
          <w:szCs w:val="24"/>
        </w:rPr>
        <w:t xml:space="preserve">Научно- </w:t>
      </w:r>
      <w:r w:rsidR="00BF3A70" w:rsidRPr="002D0B81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827149" w:rsidRPr="002D0B81">
        <w:rPr>
          <w:rFonts w:ascii="Times New Roman" w:hAnsi="Times New Roman" w:cs="Times New Roman"/>
          <w:sz w:val="24"/>
          <w:szCs w:val="24"/>
        </w:rPr>
        <w:t xml:space="preserve">и инновационная </w:t>
      </w:r>
      <w:r w:rsidR="007325B1" w:rsidRPr="002D0B81">
        <w:rPr>
          <w:rFonts w:ascii="Times New Roman" w:hAnsi="Times New Roman" w:cs="Times New Roman"/>
          <w:sz w:val="24"/>
          <w:szCs w:val="24"/>
        </w:rPr>
        <w:t xml:space="preserve"> деятельность кафедры</w:t>
      </w:r>
    </w:p>
    <w:p w:rsidR="003B0653" w:rsidRPr="003B0653" w:rsidRDefault="003B0653" w:rsidP="003B0653"/>
    <w:p w:rsidR="005D185D" w:rsidRPr="002D0B81" w:rsidRDefault="00651F27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безопасности жизнедеятельности населения является важной народно-хозяйственной проблемой. </w:t>
      </w:r>
      <w:r w:rsidR="005E55B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Современное человечество</w:t>
      </w:r>
      <w:r w:rsidR="002900C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55B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взаимодействуя с   т</w:t>
      </w:r>
      <w:r w:rsidR="005E55B0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ехносферными объектами</w:t>
      </w:r>
      <w:r w:rsidR="002900C9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</w:t>
      </w:r>
      <w:r w:rsidR="005E55B0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6336D1" w:rsidRPr="002D0B8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представляет собой сложную динамическую </w:t>
      </w:r>
      <w:r w:rsidR="006336D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систему</w:t>
      </w:r>
      <w:r w:rsidR="002900C9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</w:t>
      </w:r>
      <w:r w:rsidR="005E55B0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B54292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которая</w:t>
      </w:r>
      <w:r w:rsidR="006336D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наход</w:t>
      </w:r>
      <w:r w:rsidR="00B54292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="006336D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тся под влиянием различных типов внешних и внутренних возму</w:t>
      </w:r>
      <w:r w:rsidR="006336D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softHyphen/>
        <w:t>щений, снижающих эффективность функционирования</w:t>
      </w:r>
      <w:r w:rsidR="002900C9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техносферных объектов </w:t>
      </w:r>
      <w:r w:rsidR="005E55B0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и генерирующих</w:t>
      </w:r>
      <w:r w:rsidR="002900C9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ими</w:t>
      </w:r>
      <w:r w:rsidR="005E55B0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различного рода опасност</w:t>
      </w:r>
      <w:r w:rsidR="002900C9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ей</w:t>
      </w:r>
      <w:r w:rsidR="006336D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  <w:r w:rsidR="007325B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Поэтому п</w:t>
      </w:r>
      <w:r w:rsidR="006336D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ри разработке научных направлений и решений проблем </w:t>
      </w:r>
      <w:r w:rsidR="002900C9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безопасности жизнедеятельности </w:t>
      </w:r>
      <w:r w:rsidR="006336D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должны использоваться 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методы математического моделирования, прогнозирования, системн</w:t>
      </w:r>
      <w:r w:rsidR="00513244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ого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анализ</w:t>
      </w:r>
      <w:r w:rsidR="00513244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а</w:t>
      </w:r>
      <w:r w:rsidR="002900C9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C4AA3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применяться 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информационны</w:t>
      </w:r>
      <w:r w:rsidR="00FC4AA3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технологи</w:t>
      </w:r>
      <w:r w:rsidR="00FC4AA3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="005D185D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513244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происходить 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консолидаци</w:t>
      </w:r>
      <w:r w:rsidR="00B93B37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я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513244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научных и инновационных 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разработок </w:t>
      </w:r>
      <w:r w:rsidR="00B93B37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работающих </w:t>
      </w:r>
      <w:r w:rsidR="00EE2DE3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="002900C9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="00EE2DE3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Р 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кафедры (докторов и кандидатов технических, медицинских, педагогических, физико-математических и биологических наук</w:t>
      </w:r>
      <w:r w:rsidR="002B2E8F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)</w:t>
      </w:r>
      <w:r w:rsidR="002900C9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 развиваться международное сотрудничество по основным направлениям кафедры.</w:t>
      </w:r>
      <w:r w:rsidR="00B60C31" w:rsidRPr="002D0B8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 </w:t>
      </w:r>
    </w:p>
    <w:p w:rsidR="00B93B37" w:rsidRPr="002D0B81" w:rsidRDefault="00BE4BAF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 на кафедре, исторически сформированной из  направлений кафедры «Охраны труда» о</w:t>
      </w:r>
      <w:r w:rsidR="00EE2DE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бъектом защиты от различных опасностей </w:t>
      </w:r>
      <w:r w:rsidR="00F479F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первую очередь в </w:t>
      </w:r>
      <w:r w:rsidR="00F479F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среде деятельности (производственной среде),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9F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сред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479F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отдыха (</w:t>
      </w:r>
      <w:r w:rsidR="00AC5BC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F479F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рекреационны</w:t>
      </w:r>
      <w:r w:rsidR="00AC5BC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F479F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</w:t>
      </w:r>
      <w:r w:rsidR="00AC5BC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F479F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), города и жилища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человек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а предметом исследования являются методы и средства защиты человека от опасных и вредных факторов.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3B37" w:rsidRPr="002D0B81" w:rsidRDefault="00BE4BAF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Вт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рое направление, сформированное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свое время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слияни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афедрой 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«Г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ражданск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оборон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а»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связано с </w:t>
      </w:r>
      <w:r w:rsidR="00FC4AA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исследованием 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чрезвычайны</w:t>
      </w:r>
      <w:r w:rsidR="00FC4AA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опасност</w:t>
      </w:r>
      <w:r w:rsidR="00FC4AA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техносферы, в том числе с пожарами, ионизирующими излучениями</w:t>
      </w:r>
      <w:r w:rsidR="00AC5BC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1B9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авариями на производственных и опасных производственных объектах.</w:t>
      </w:r>
      <w:r w:rsidR="00AC5BC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на перспективу с 2017 по 202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C5BC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5BC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планировать дальнейшее расширение и углубление исследований по указанным направлениям</w:t>
      </w:r>
      <w:r w:rsidR="00FC4AA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 w:rsidR="00AC5BC0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6548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этим двум направлениям кафедра сотрудничает с ведущими предприятиями Пе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рмского края и других городов Р</w:t>
      </w:r>
      <w:r w:rsidR="0036548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Ф, </w:t>
      </w:r>
      <w:r w:rsidR="00551F8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 кафедры принимали непосредственное участие в Программе межгосударственной стандартизации.</w:t>
      </w:r>
    </w:p>
    <w:p w:rsidR="002B43D2" w:rsidRPr="002D0B81" w:rsidRDefault="00AC5BC0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другой стороны значительная доля 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публикаций </w:t>
      </w:r>
      <w:r w:rsidR="005D1349">
        <w:rPr>
          <w:rFonts w:ascii="Times New Roman" w:hAnsi="Times New Roman" w:cs="Times New Roman"/>
          <w:color w:val="000000" w:themeColor="text1"/>
          <w:sz w:val="24"/>
          <w:szCs w:val="24"/>
        </w:rPr>
        <w:t>по проведенным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</w:t>
      </w:r>
      <w:r w:rsidR="005D1349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осуществлялась на кафедре в области безопасных технологий переработки и утилизации отходов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напрямую связанн</w:t>
      </w:r>
      <w:r w:rsidR="00FC4AA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направлением </w:t>
      </w:r>
      <w:r w:rsidR="002B43D2" w:rsidRPr="002D0B81">
        <w:rPr>
          <w:rFonts w:ascii="Times New Roman" w:hAnsi="Times New Roman" w:cs="Times New Roman"/>
          <w:bCs/>
          <w:sz w:val="24"/>
          <w:szCs w:val="24"/>
        </w:rPr>
        <w:t>«Техносферная безопасность»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="005D185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ходе этих исследований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3D2" w:rsidRPr="002D0B81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программного комплекса для ЭВМ 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B43D2" w:rsidRPr="002D0B81">
        <w:rPr>
          <w:rFonts w:ascii="Times New Roman" w:hAnsi="Times New Roman" w:cs="Times New Roman"/>
          <w:sz w:val="24"/>
          <w:szCs w:val="24"/>
        </w:rPr>
        <w:t>2009612494,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ФИПС.</w:t>
      </w:r>
    </w:p>
    <w:p w:rsidR="00FC4AA3" w:rsidRPr="002D0B81" w:rsidRDefault="00182628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Выполнялась хоздоговорная работа</w:t>
      </w:r>
      <w:r w:rsidR="00011CA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2013/379.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85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Получено два патента №</w:t>
      </w:r>
      <w:r w:rsidR="00267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3D2" w:rsidRPr="002D0B81">
        <w:rPr>
          <w:rFonts w:ascii="Times New Roman" w:hAnsi="Times New Roman" w:cs="Times New Roman"/>
          <w:sz w:val="24"/>
          <w:szCs w:val="24"/>
        </w:rPr>
        <w:t>2162059, № 2414314</w:t>
      </w:r>
      <w:r w:rsidR="005D185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1CA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один из которых заключено Лицензионное соглашение до 2020 года, </w:t>
      </w:r>
      <w:r w:rsidR="005D185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подавались заявки на гра</w:t>
      </w:r>
      <w:r w:rsidR="0073362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D185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РФФИ </w:t>
      </w:r>
      <w:r w:rsidR="00FC4AA3" w:rsidRPr="002D0B81">
        <w:rPr>
          <w:rFonts w:ascii="Times New Roman" w:hAnsi="Times New Roman" w:cs="Times New Roman"/>
          <w:sz w:val="24"/>
          <w:szCs w:val="24"/>
        </w:rPr>
        <w:t xml:space="preserve">(16-48-590354,13-08-96009, 13-08-00301) </w:t>
      </w:r>
      <w:r w:rsidR="005D185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 внутренние гранты ПНИПУ</w:t>
      </w:r>
      <w:r w:rsidR="00FC4AA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185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4AA3" w:rsidRPr="002D0B81" w:rsidRDefault="00FC4AA3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и программные модули, разработанные в этом направлении были внедрены на основных предприятиях России и за рубежом, в частности в 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инистерстве 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риродн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ресурсов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 охраны окружающей среды республики Беларусь, территориальном проектном институте «Хабаровс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промпроект», в Нытвенском районном комитете по охране природы, ЗАО НПП Логус, комитете по охране окружающей среды г. 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раснокамска, ООО </w:t>
      </w:r>
      <w:r w:rsidR="00BD6A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Наука и практика</w:t>
      </w:r>
      <w:r w:rsidR="00BD6A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др</w:t>
      </w:r>
      <w:r w:rsidR="00036AA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угих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предприятиях.</w:t>
      </w:r>
    </w:p>
    <w:p w:rsidR="00D94365" w:rsidRPr="002D0B81" w:rsidRDefault="005D185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по этому направлению  находится на рассмотрение подан</w:t>
      </w:r>
      <w:r w:rsidR="0018262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ная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грант РФФИ Урал</w:t>
      </w:r>
      <w:r w:rsidR="002B43D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17-48-590027</w:t>
      </w:r>
      <w:r w:rsidR="0018262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1CA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данному направлению только за последние 5 лет было опубликовано </w:t>
      </w:r>
      <w:r w:rsidR="00FC4AA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011CA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</w:t>
      </w:r>
      <w:r w:rsidR="00FC4AA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ьи</w:t>
      </w:r>
      <w:r w:rsidR="00011CA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1F27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73362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акое направление научной деятельности 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3362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кафедре надо развивать и укреплять, поскольку оно является важным и входит в перечень критических технологий РФ и приоритетного  направления</w:t>
      </w:r>
      <w:r w:rsidR="00551F8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</w:t>
      </w:r>
      <w:r w:rsidR="0073362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ПНИПУ 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51F8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Устойчивое развитие урбанизированных территорий (</w:t>
      </w:r>
      <w:r w:rsidR="0073362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«Урбанистика»</w:t>
      </w:r>
      <w:r w:rsidR="00551F8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3362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6516B" w:rsidRPr="002D0B81" w:rsidRDefault="0073362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работы в данном направлении можно интенсифицировать в ходе установления межвузовской и межкафедральной кооперации, в частности с так</w:t>
      </w:r>
      <w:r w:rsidR="00F651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ми кафедрами как</w:t>
      </w:r>
      <w:r w:rsidR="00F651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«Химия и биотехнология», «Охрана окружающей среды»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кафедрами ПНИПУ</w:t>
      </w:r>
      <w:r w:rsidR="00F651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с перспективн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кооперацией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вопросам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51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4FD4" w:rsidRPr="002D0B81" w:rsidRDefault="00764FD4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свете принятой Программы по повышению конкуретноспособности ПНИПУ для интенсификации научной деятельности кафедры предлагаются следующие мероприятия:</w:t>
      </w:r>
    </w:p>
    <w:p w:rsidR="00764FD4" w:rsidRPr="002D0B81" w:rsidRDefault="00B54292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повышение </w:t>
      </w:r>
      <w:r w:rsidR="00764FD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вовлечения обучающихся и НПР кафед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ры в инновационную деятельность;</w:t>
      </w:r>
    </w:p>
    <w:p w:rsidR="00764FD4" w:rsidRPr="002D0B81" w:rsidRDefault="00B54292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межвузовского и межкафедрального взаимодействия при выполнении </w:t>
      </w:r>
      <w:r w:rsidR="00764FD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научных исследований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50C1" w:rsidRPr="002D0B81" w:rsidRDefault="00B54292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</w:t>
      </w:r>
      <w:r w:rsidR="00764FD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предпр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4FD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нимательских компетенций у обучающихся и НПР кафедры путем проведения семинаров,  мастер-классов, программ повышения квалификации с привлечением компетентных представителей бизнес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а;</w:t>
      </w:r>
    </w:p>
    <w:p w:rsidR="006550C1" w:rsidRPr="002D0B81" w:rsidRDefault="00B54292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кафедры в создании и оснащении исследовательской лаборатории на конкурсной основе;</w:t>
      </w:r>
    </w:p>
    <w:p w:rsidR="00C43413" w:rsidRPr="00C26F30" w:rsidRDefault="00B54292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расширение практики проведения исследований совместно с ведущими </w:t>
      </w:r>
      <w:r w:rsidR="006550C1" w:rsidRPr="00C26F30">
        <w:rPr>
          <w:rFonts w:ascii="Times New Roman" w:hAnsi="Times New Roman" w:cs="Times New Roman"/>
          <w:sz w:val="24"/>
          <w:szCs w:val="24"/>
        </w:rPr>
        <w:t xml:space="preserve">российскими и зарубежными ВУЗами, с учетом установившихся связей с факультетом Инженерной безопасности технического университета </w:t>
      </w:r>
      <w:r w:rsidR="00764FD4" w:rsidRPr="00C26F30">
        <w:rPr>
          <w:rFonts w:ascii="Times New Roman" w:hAnsi="Times New Roman" w:cs="Times New Roman"/>
          <w:sz w:val="24"/>
          <w:szCs w:val="24"/>
        </w:rPr>
        <w:t xml:space="preserve"> </w:t>
      </w:r>
      <w:r w:rsidR="006550C1" w:rsidRPr="00C26F30">
        <w:rPr>
          <w:rFonts w:ascii="Times New Roman" w:hAnsi="Times New Roman" w:cs="Times New Roman"/>
          <w:sz w:val="24"/>
          <w:szCs w:val="24"/>
        </w:rPr>
        <w:t xml:space="preserve">г.Острава, Чешской республики, Томского государственного университета, Ижевского </w:t>
      </w:r>
      <w:r w:rsidR="00A677E9" w:rsidRPr="00C26F30">
        <w:rPr>
          <w:rFonts w:ascii="Times New Roman" w:hAnsi="Times New Roman" w:cs="Times New Roman"/>
          <w:sz w:val="24"/>
          <w:szCs w:val="24"/>
        </w:rPr>
        <w:t>государственного технического университета им.</w:t>
      </w:r>
      <w:r w:rsidR="00373953" w:rsidRPr="00C26F30">
        <w:rPr>
          <w:rFonts w:ascii="Times New Roman" w:hAnsi="Times New Roman" w:cs="Times New Roman"/>
          <w:sz w:val="24"/>
          <w:szCs w:val="24"/>
        </w:rPr>
        <w:t xml:space="preserve"> М.Т.</w:t>
      </w:r>
      <w:r w:rsidR="00A677E9" w:rsidRPr="00C26F30">
        <w:rPr>
          <w:rFonts w:ascii="Times New Roman" w:hAnsi="Times New Roman" w:cs="Times New Roman"/>
          <w:sz w:val="24"/>
          <w:szCs w:val="24"/>
        </w:rPr>
        <w:t xml:space="preserve"> Калашникова</w:t>
      </w:r>
      <w:r w:rsidR="006550C1" w:rsidRPr="00C26F30">
        <w:rPr>
          <w:rFonts w:ascii="Times New Roman" w:hAnsi="Times New Roman" w:cs="Times New Roman"/>
          <w:sz w:val="24"/>
          <w:szCs w:val="24"/>
        </w:rPr>
        <w:t xml:space="preserve">, </w:t>
      </w:r>
      <w:r w:rsidR="00E4570A" w:rsidRPr="00C26F30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Нижегородского государственного технического университета им. Р.Е. Алексеева, Кубанского государственного аграрного университета имени И.Т. Трубилина</w:t>
      </w:r>
      <w:r w:rsidR="00BD6A61" w:rsidRPr="00C26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</w:t>
      </w:r>
      <w:r w:rsidRPr="00C26F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1F27" w:rsidRPr="002D0B81" w:rsidRDefault="006550C1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F30">
        <w:rPr>
          <w:rFonts w:ascii="Times New Roman" w:hAnsi="Times New Roman" w:cs="Times New Roman"/>
          <w:sz w:val="24"/>
          <w:szCs w:val="24"/>
        </w:rPr>
        <w:t>Для успешной реализации этих мероприятий в</w:t>
      </w:r>
      <w:r w:rsidR="00F6516B" w:rsidRPr="00C26F30">
        <w:rPr>
          <w:rFonts w:ascii="Times New Roman" w:hAnsi="Times New Roman" w:cs="Times New Roman"/>
          <w:sz w:val="24"/>
          <w:szCs w:val="24"/>
        </w:rPr>
        <w:t xml:space="preserve"> планируемый пятилетний период предлагается создать </w:t>
      </w:r>
      <w:r w:rsidR="008E75CB" w:rsidRPr="00C26F30">
        <w:rPr>
          <w:rFonts w:ascii="Times New Roman" w:hAnsi="Times New Roman" w:cs="Times New Roman"/>
          <w:sz w:val="24"/>
          <w:szCs w:val="24"/>
        </w:rPr>
        <w:t>инновационно-образовательный</w:t>
      </w:r>
      <w:r w:rsidR="00C26F30" w:rsidRPr="00C26F30">
        <w:rPr>
          <w:rFonts w:ascii="Times New Roman" w:hAnsi="Times New Roman" w:cs="Times New Roman"/>
          <w:sz w:val="24"/>
          <w:szCs w:val="24"/>
        </w:rPr>
        <w:t xml:space="preserve"> </w:t>
      </w:r>
      <w:r w:rsidR="00F6516B" w:rsidRPr="00C26F30">
        <w:rPr>
          <w:rFonts w:ascii="Times New Roman" w:hAnsi="Times New Roman" w:cs="Times New Roman"/>
          <w:sz w:val="24"/>
          <w:szCs w:val="24"/>
        </w:rPr>
        <w:t>центр «</w:t>
      </w:r>
      <w:r w:rsidR="00B54292" w:rsidRPr="00C26F30">
        <w:rPr>
          <w:rFonts w:ascii="Times New Roman" w:hAnsi="Times New Roman" w:cs="Times New Roman"/>
          <w:sz w:val="24"/>
          <w:szCs w:val="24"/>
        </w:rPr>
        <w:t>Безопасность в техносфере</w:t>
      </w:r>
      <w:r w:rsidR="00F6516B" w:rsidRPr="00C26F30">
        <w:rPr>
          <w:rFonts w:ascii="Times New Roman" w:hAnsi="Times New Roman" w:cs="Times New Roman"/>
          <w:sz w:val="24"/>
          <w:szCs w:val="24"/>
        </w:rPr>
        <w:t>», включающий в себя работу центра</w:t>
      </w:r>
      <w:r w:rsidR="0073362D" w:rsidRPr="00C26F30">
        <w:rPr>
          <w:rFonts w:ascii="Times New Roman" w:hAnsi="Times New Roman" w:cs="Times New Roman"/>
          <w:sz w:val="24"/>
          <w:szCs w:val="24"/>
        </w:rPr>
        <w:t xml:space="preserve"> </w:t>
      </w:r>
      <w:r w:rsidR="00F6516B" w:rsidRPr="00C26F30">
        <w:rPr>
          <w:rFonts w:ascii="Times New Roman" w:hAnsi="Times New Roman" w:cs="Times New Roman"/>
          <w:sz w:val="24"/>
          <w:szCs w:val="24"/>
        </w:rPr>
        <w:t xml:space="preserve"> </w:t>
      </w:r>
      <w:r w:rsidR="00F6516B" w:rsidRPr="00C26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«Риск и промышленная</w:t>
      </w:r>
      <w:r w:rsidR="00F6516B" w:rsidRPr="002D0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безопасность»</w:t>
      </w:r>
      <w:r w:rsidR="00F651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5D6B0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повышению квалификации и </w:t>
      </w:r>
      <w:r w:rsidR="00F651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переподготовке специалистов по вопросам безопасности труда и промышленной безопасности</w:t>
      </w:r>
      <w:r w:rsidR="005D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D6B0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в целом, по вопросам техносферной  безопасности</w:t>
      </w:r>
      <w:r w:rsidR="00F651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научн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r w:rsidR="005D6B0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технический </w:t>
      </w:r>
      <w:r w:rsidR="00F651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центр, направленный на </w:t>
      </w:r>
      <w:r w:rsidR="00AC73DA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продвижение разработок кафедры, поиск инвесторов, партнеров</w:t>
      </w:r>
      <w:r w:rsidR="008924A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заказчиков и соисполн</w:t>
      </w:r>
      <w:r w:rsidR="00A677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924A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телей</w:t>
      </w:r>
      <w:r w:rsidR="00F6516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хоздоговор</w:t>
      </w:r>
      <w:r w:rsidR="00651F27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НИР</w:t>
      </w:r>
      <w:r w:rsidR="00651F27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основным 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научным </w:t>
      </w:r>
      <w:r w:rsidR="00651F27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 кафедры.</w:t>
      </w:r>
      <w:r w:rsidR="00F1171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Конечным результатом будет  встраивание деятельности центра в производственно-технологические цепочки организаций и предприятий  реального сектора</w:t>
      </w:r>
      <w:r w:rsidR="005D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</w:t>
      </w:r>
      <w:r w:rsidR="00F1171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1F27" w:rsidRPr="002D0B81" w:rsidRDefault="00B93B37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интенсификации </w:t>
      </w:r>
      <w:r w:rsidR="0082221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повышения качества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научно-образовательной деятельности </w:t>
      </w:r>
      <w:r w:rsidR="0082221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предлагается </w:t>
      </w:r>
    </w:p>
    <w:p w:rsidR="00822216" w:rsidRPr="002D0B81" w:rsidRDefault="00822216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- открытие на кафедре в период 2018-2020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очного отделения бакалавров по направлению «Техносферная безопасность» по профилям основных направлений кафедры</w:t>
      </w:r>
      <w:r w:rsidR="000E57B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2216" w:rsidRPr="002D0B81" w:rsidRDefault="00822216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</w:t>
      </w:r>
      <w:r w:rsidR="006C66A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прохождению 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 и/или стажировок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магистра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бакалавр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ами кафедры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ведущих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ВУЗах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взаимодействи</w:t>
      </w:r>
      <w:r w:rsidR="001E366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нау</w:t>
      </w:r>
      <w:r w:rsidR="000E57B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чными школами 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E57B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E57B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совместных научных исследований;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57B8" w:rsidRPr="002D0B81" w:rsidRDefault="000E57B8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-привлечение студентов 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 хоздоговорных НИР, активизация их участия в олимпиадах, конкурсах, конференциях различного уровня</w:t>
      </w:r>
      <w:r w:rsidR="006A190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специализированных выставках п</w:t>
      </w:r>
      <w:r w:rsidR="00BD6A61">
        <w:rPr>
          <w:rFonts w:ascii="Times New Roman" w:hAnsi="Times New Roman" w:cs="Times New Roman"/>
          <w:color w:val="000000" w:themeColor="text1"/>
          <w:sz w:val="24"/>
          <w:szCs w:val="24"/>
        </w:rPr>
        <w:t>о основным направлениям кафедры;</w:t>
      </w:r>
    </w:p>
    <w:p w:rsidR="00BC53DD" w:rsidRPr="002D0B81" w:rsidRDefault="000E57B8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повышение публикационной активности </w:t>
      </w:r>
      <w:r w:rsidR="0038185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НПР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кафедры в журна</w:t>
      </w:r>
      <w:r w:rsidR="00C4341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ВАК, 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365" w:rsidRPr="002D0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WoS</w:t>
      </w:r>
      <w:r w:rsidR="00BD6A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3BAD" w:rsidRPr="002D0B81" w:rsidRDefault="00BC53DD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664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</w:t>
      </w:r>
      <w:r w:rsidR="006A190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664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исследованиям </w:t>
      </w:r>
      <w:r w:rsidR="006A190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научным направлениям кафедры </w:t>
      </w:r>
      <w:r w:rsidR="009664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  Пермского края</w:t>
      </w:r>
      <w:r w:rsidR="006C66A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 используя связи со школами сложивш</w:t>
      </w:r>
      <w:r w:rsidR="005D134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C66A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еся </w:t>
      </w:r>
      <w:r w:rsidR="005D1349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6C66A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взаимодействии с кафедрой при ежегодном проведении</w:t>
      </w:r>
      <w:r w:rsidR="0038185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Региональной (окружной)</w:t>
      </w:r>
      <w:r w:rsidR="006C66A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</w:t>
      </w:r>
      <w:r w:rsidR="0038185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C66A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основам безопасности жизнедеятельности</w:t>
      </w:r>
      <w:r w:rsidR="009664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6A1" w:rsidRPr="002D0B81" w:rsidRDefault="006C66A1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причиной снижения публикационной активности кафедры, является тенденция</w:t>
      </w:r>
      <w:r w:rsidR="0038185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снижения количества публикаций среди </w:t>
      </w:r>
      <w:r w:rsidR="00316034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кандидатов наук </w:t>
      </w:r>
      <w:r w:rsidR="0038185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кафедры, поэтому повышение </w:t>
      </w:r>
      <w:r w:rsidR="001F7775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публикационной </w:t>
      </w:r>
      <w:r w:rsidR="0038185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результативности будет направлен</w:t>
      </w:r>
      <w:r w:rsidR="006A71D1">
        <w:rPr>
          <w:rFonts w:ascii="Times New Roman" w:hAnsi="Times New Roman" w:cs="Times New Roman"/>
          <w:color w:val="000000" w:themeColor="text1"/>
          <w:sz w:val="24"/>
          <w:szCs w:val="24"/>
        </w:rPr>
        <w:t>о на мероприятия по активизации</w:t>
      </w:r>
      <w:r w:rsidR="0038185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этой категории НПР кафедры (таблица 1).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4292" w:rsidRPr="002D0B81" w:rsidRDefault="00B54292" w:rsidP="002D0B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1D1" w:rsidRDefault="006A71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B06A8" w:rsidRDefault="005B06A8" w:rsidP="002D0B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B54292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2D0B81">
        <w:rPr>
          <w:rFonts w:ascii="Times New Roman" w:hAnsi="Times New Roman" w:cs="Times New Roman"/>
          <w:sz w:val="24"/>
          <w:szCs w:val="24"/>
        </w:rPr>
        <w:t xml:space="preserve">Планируемое повышение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результативности в публикационной деятельности НПР кафедры</w:t>
      </w:r>
    </w:p>
    <w:p w:rsidR="006A71D1" w:rsidRPr="002D0B81" w:rsidRDefault="006A71D1" w:rsidP="002D0B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510"/>
        <w:gridCol w:w="709"/>
        <w:gridCol w:w="1134"/>
        <w:gridCol w:w="851"/>
        <w:gridCol w:w="992"/>
        <w:gridCol w:w="850"/>
        <w:gridCol w:w="829"/>
        <w:gridCol w:w="696"/>
      </w:tblGrid>
      <w:tr w:rsidR="005B06A8" w:rsidRPr="002D0B81" w:rsidTr="002D0B81">
        <w:tc>
          <w:tcPr>
            <w:tcW w:w="3510" w:type="dxa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  <w:vAlign w:val="center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9" w:type="dxa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B06A8" w:rsidRPr="002D0B81" w:rsidTr="002D0B81">
        <w:tc>
          <w:tcPr>
            <w:tcW w:w="3510" w:type="dxa"/>
          </w:tcPr>
          <w:p w:rsidR="005B06A8" w:rsidRPr="002D0B81" w:rsidRDefault="005B06A8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статей в научной периодике, индексируемой иностранными и российскими организациями (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ВАК, РИНЦ) в расчете на одного НПР</w:t>
            </w:r>
          </w:p>
        </w:tc>
        <w:tc>
          <w:tcPr>
            <w:tcW w:w="709" w:type="dxa"/>
            <w:vAlign w:val="center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5B06A8" w:rsidRPr="002D0B81" w:rsidRDefault="00B54292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2,45</w:t>
            </w:r>
          </w:p>
        </w:tc>
        <w:tc>
          <w:tcPr>
            <w:tcW w:w="851" w:type="dxa"/>
          </w:tcPr>
          <w:p w:rsidR="005B06A8" w:rsidRPr="002D0B81" w:rsidRDefault="005B06A8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B54292"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B06A8" w:rsidRPr="002D0B81" w:rsidRDefault="00B54292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5B06A8"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06A8" w:rsidRPr="002D0B81" w:rsidRDefault="005B06A8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B54292"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5B06A8" w:rsidRPr="002D0B81" w:rsidRDefault="00B54292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B06A8"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5B06A8" w:rsidRPr="002D0B81" w:rsidRDefault="00B54292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</w:tr>
      <w:tr w:rsidR="005B06A8" w:rsidRPr="002D0B81" w:rsidTr="002D0B81">
        <w:tc>
          <w:tcPr>
            <w:tcW w:w="3510" w:type="dxa"/>
          </w:tcPr>
          <w:p w:rsidR="005B06A8" w:rsidRPr="002D0B81" w:rsidRDefault="005B06A8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статей в научной периодике, индексируемой иностранными и российскими организациями (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ВАК, РИНЦ) в расчете на одного доктора наук</w:t>
            </w:r>
          </w:p>
        </w:tc>
        <w:tc>
          <w:tcPr>
            <w:tcW w:w="709" w:type="dxa"/>
            <w:vAlign w:val="center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5B06A8" w:rsidRPr="002D0B81" w:rsidRDefault="005B06A8" w:rsidP="005D1349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</w:tcPr>
          <w:p w:rsidR="005B06A8" w:rsidRPr="002D0B81" w:rsidRDefault="005B06A8" w:rsidP="005D1349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5B06A8" w:rsidRPr="002D0B81" w:rsidRDefault="005B06A8" w:rsidP="005D1349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5B06A8" w:rsidRPr="002D0B81" w:rsidRDefault="005B06A8" w:rsidP="005D1349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9" w:type="dxa"/>
          </w:tcPr>
          <w:p w:rsidR="005B06A8" w:rsidRPr="002D0B81" w:rsidRDefault="005B06A8" w:rsidP="005D1349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6" w:type="dxa"/>
          </w:tcPr>
          <w:p w:rsidR="005B06A8" w:rsidRPr="002D0B81" w:rsidRDefault="005B06A8" w:rsidP="005D1349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B06A8" w:rsidRPr="002D0B81" w:rsidTr="002D0B81">
        <w:tc>
          <w:tcPr>
            <w:tcW w:w="3510" w:type="dxa"/>
          </w:tcPr>
          <w:p w:rsidR="005B06A8" w:rsidRPr="002D0B81" w:rsidRDefault="005B06A8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НПР докторов наук, за последние пять лет опубликовавших не менее пяти статей в научной периодике, индексируемой иностранными и российскими организациями (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ВАК, РИНЦ)</w:t>
            </w:r>
          </w:p>
        </w:tc>
        <w:tc>
          <w:tcPr>
            <w:tcW w:w="709" w:type="dxa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06A8" w:rsidRPr="002D0B81" w:rsidRDefault="005B06A8" w:rsidP="005D1349">
            <w:pPr>
              <w:spacing w:before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06A8" w:rsidRPr="002D0B81" w:rsidRDefault="005B06A8" w:rsidP="005D1349">
            <w:pPr>
              <w:spacing w:before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06A8" w:rsidRPr="002D0B81" w:rsidRDefault="005B06A8" w:rsidP="005D1349">
            <w:pPr>
              <w:spacing w:before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B06A8" w:rsidRPr="002D0B81" w:rsidRDefault="005B06A8" w:rsidP="005D1349">
            <w:pPr>
              <w:spacing w:before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</w:tcPr>
          <w:p w:rsidR="005B06A8" w:rsidRPr="002D0B81" w:rsidRDefault="005B06A8" w:rsidP="005D1349">
            <w:pPr>
              <w:spacing w:before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5B06A8" w:rsidRPr="002D0B81" w:rsidRDefault="005B06A8" w:rsidP="005D1349">
            <w:pPr>
              <w:spacing w:before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06A8" w:rsidRPr="002D0B81" w:rsidTr="002D0B81">
        <w:tc>
          <w:tcPr>
            <w:tcW w:w="3510" w:type="dxa"/>
          </w:tcPr>
          <w:p w:rsidR="005B06A8" w:rsidRPr="002D0B81" w:rsidRDefault="005B06A8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статей в научной периодике, индексируемой иностранными и российскими организациями (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ВАК, РИНЦ) в расчете на одного кандидата наук</w:t>
            </w:r>
          </w:p>
        </w:tc>
        <w:tc>
          <w:tcPr>
            <w:tcW w:w="709" w:type="dxa"/>
            <w:vAlign w:val="center"/>
          </w:tcPr>
          <w:p w:rsidR="005B06A8" w:rsidRPr="002D0B81" w:rsidRDefault="005B06A8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5B06A8" w:rsidRPr="002D0B81" w:rsidRDefault="005B06A8" w:rsidP="005D1349">
            <w:pPr>
              <w:spacing w:before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5B06A8" w:rsidRPr="002D0B81" w:rsidRDefault="005B06A8" w:rsidP="005D1349">
            <w:pPr>
              <w:spacing w:before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5B06A8" w:rsidRPr="002D0B81" w:rsidRDefault="005B06A8" w:rsidP="005D1349">
            <w:pPr>
              <w:spacing w:before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5B06A8" w:rsidRPr="002D0B81" w:rsidRDefault="005B06A8" w:rsidP="005D1349">
            <w:pPr>
              <w:spacing w:before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29" w:type="dxa"/>
          </w:tcPr>
          <w:p w:rsidR="005B06A8" w:rsidRPr="002D0B81" w:rsidRDefault="005B06A8" w:rsidP="005D1349">
            <w:pPr>
              <w:spacing w:before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96" w:type="dxa"/>
          </w:tcPr>
          <w:p w:rsidR="005B06A8" w:rsidRPr="002D0B81" w:rsidRDefault="005B06A8" w:rsidP="005D1349">
            <w:pPr>
              <w:spacing w:before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B06A8" w:rsidRPr="002D0B81" w:rsidTr="002D0B81">
        <w:tc>
          <w:tcPr>
            <w:tcW w:w="3510" w:type="dxa"/>
          </w:tcPr>
          <w:p w:rsidR="005B06A8" w:rsidRPr="002D0B81" w:rsidRDefault="005B06A8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НПР кандидатов  наук, за последние пять лет опубликовавших не менее пяти статей в научной периодике, индексируемой иностранными и российскими организациями (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2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ВАК, РИНЦ)</w:t>
            </w:r>
          </w:p>
        </w:tc>
        <w:tc>
          <w:tcPr>
            <w:tcW w:w="709" w:type="dxa"/>
          </w:tcPr>
          <w:p w:rsidR="005B06A8" w:rsidRPr="002D0B81" w:rsidRDefault="005B06A8" w:rsidP="001B7D9D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06A8" w:rsidRPr="002D0B81" w:rsidRDefault="005B06A8" w:rsidP="001B7D9D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B06A8" w:rsidRPr="002D0B81" w:rsidRDefault="005B06A8" w:rsidP="001B7D9D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B06A8" w:rsidRPr="002D0B81" w:rsidRDefault="005B06A8" w:rsidP="001B7D9D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5B06A8" w:rsidRPr="002D0B81" w:rsidRDefault="005B06A8" w:rsidP="001B7D9D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9" w:type="dxa"/>
          </w:tcPr>
          <w:p w:rsidR="005B06A8" w:rsidRPr="002D0B81" w:rsidRDefault="005B06A8" w:rsidP="001B7D9D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</w:tcPr>
          <w:p w:rsidR="005B06A8" w:rsidRPr="002D0B81" w:rsidRDefault="006A71D1" w:rsidP="001B7D9D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3B0653" w:rsidRDefault="003B0653" w:rsidP="003B0653">
      <w:pPr>
        <w:spacing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1851" w:rsidRPr="002D0B81" w:rsidRDefault="00381851" w:rsidP="00EB65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Для интенсификации </w:t>
      </w:r>
      <w:r w:rsidR="00900042" w:rsidRPr="002D0B81">
        <w:rPr>
          <w:rFonts w:ascii="Times New Roman" w:hAnsi="Times New Roman" w:cs="Times New Roman"/>
          <w:sz w:val="24"/>
          <w:szCs w:val="24"/>
        </w:rPr>
        <w:t>инновационной деятельности предлагается</w:t>
      </w:r>
      <w:r w:rsidR="00403910" w:rsidRPr="002D0B81">
        <w:rPr>
          <w:rFonts w:ascii="Times New Roman" w:hAnsi="Times New Roman" w:cs="Times New Roman"/>
          <w:sz w:val="24"/>
          <w:szCs w:val="24"/>
        </w:rPr>
        <w:t>:</w:t>
      </w:r>
    </w:p>
    <w:p w:rsidR="00900042" w:rsidRPr="002D0B81" w:rsidRDefault="003B0653" w:rsidP="00EB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- повышение знаний и научного опыта по коммерциализации результатов </w:t>
      </w:r>
      <w:r w:rsidR="00900042" w:rsidRPr="002D0B81"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  <w:r w:rsidR="00403910" w:rsidRPr="002D0B81">
        <w:rPr>
          <w:rFonts w:ascii="Times New Roman" w:hAnsi="Times New Roman" w:cs="Times New Roman"/>
          <w:sz w:val="24"/>
          <w:szCs w:val="24"/>
        </w:rPr>
        <w:t>;</w:t>
      </w:r>
    </w:p>
    <w:p w:rsidR="00900042" w:rsidRPr="002D0B81" w:rsidRDefault="00403910" w:rsidP="00EB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- </w:t>
      </w:r>
      <w:r w:rsidR="003B0653" w:rsidRPr="002D0B81">
        <w:rPr>
          <w:rFonts w:ascii="Times New Roman" w:hAnsi="Times New Roman" w:cs="Times New Roman"/>
          <w:sz w:val="24"/>
          <w:szCs w:val="24"/>
        </w:rPr>
        <w:t xml:space="preserve">повышение  </w:t>
      </w:r>
      <w:r w:rsidR="00BA1579" w:rsidRPr="002D0B81">
        <w:rPr>
          <w:rFonts w:ascii="Times New Roman" w:hAnsi="Times New Roman" w:cs="Times New Roman"/>
          <w:sz w:val="24"/>
          <w:szCs w:val="24"/>
        </w:rPr>
        <w:t xml:space="preserve">вовлечения количества </w:t>
      </w:r>
      <w:r w:rsidR="00900042" w:rsidRPr="002D0B81">
        <w:rPr>
          <w:rFonts w:ascii="Times New Roman" w:hAnsi="Times New Roman" w:cs="Times New Roman"/>
          <w:sz w:val="24"/>
          <w:szCs w:val="24"/>
        </w:rPr>
        <w:t>обучаюшихся и НПР в инновационн</w:t>
      </w:r>
      <w:r w:rsidR="00BA1579" w:rsidRPr="002D0B81">
        <w:rPr>
          <w:rFonts w:ascii="Times New Roman" w:hAnsi="Times New Roman" w:cs="Times New Roman"/>
          <w:sz w:val="24"/>
          <w:szCs w:val="24"/>
        </w:rPr>
        <w:t>ую</w:t>
      </w:r>
      <w:r w:rsidR="00900042" w:rsidRPr="002D0B81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BA1579" w:rsidRPr="002D0B81">
        <w:rPr>
          <w:rFonts w:ascii="Times New Roman" w:hAnsi="Times New Roman" w:cs="Times New Roman"/>
          <w:sz w:val="24"/>
          <w:szCs w:val="24"/>
        </w:rPr>
        <w:t>ь кафедры</w:t>
      </w:r>
      <w:r w:rsidRPr="002D0B81">
        <w:rPr>
          <w:rFonts w:ascii="Times New Roman" w:hAnsi="Times New Roman" w:cs="Times New Roman"/>
          <w:sz w:val="24"/>
          <w:szCs w:val="24"/>
        </w:rPr>
        <w:t>;</w:t>
      </w:r>
    </w:p>
    <w:p w:rsidR="00BA1579" w:rsidRPr="002D0B81" w:rsidRDefault="00403910" w:rsidP="00EB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- </w:t>
      </w:r>
      <w:r w:rsidR="003B0653" w:rsidRPr="002D0B8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A1579" w:rsidRPr="002D0B81">
        <w:rPr>
          <w:rFonts w:ascii="Times New Roman" w:hAnsi="Times New Roman" w:cs="Times New Roman"/>
          <w:sz w:val="24"/>
          <w:szCs w:val="24"/>
        </w:rPr>
        <w:t>предпринимательских компетенций у обучающихся и НПР кафедры</w:t>
      </w:r>
      <w:r w:rsidR="003B0653">
        <w:rPr>
          <w:rFonts w:ascii="Times New Roman" w:hAnsi="Times New Roman" w:cs="Times New Roman"/>
          <w:sz w:val="24"/>
          <w:szCs w:val="24"/>
        </w:rPr>
        <w:t>.</w:t>
      </w:r>
    </w:p>
    <w:p w:rsidR="00BA1579" w:rsidRPr="002D0B81" w:rsidRDefault="00BA1579" w:rsidP="00EB65CA">
      <w:pPr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Пути повышения инновационной деятельности кафедры представлены в таблице 2.</w:t>
      </w:r>
    </w:p>
    <w:p w:rsidR="006A71D1" w:rsidRDefault="006A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3953" w:rsidRPr="002D0B81" w:rsidRDefault="00BA1579" w:rsidP="002D0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Таблица 2 – </w:t>
      </w:r>
      <w:r w:rsidR="003B0653" w:rsidRPr="002D0B81">
        <w:rPr>
          <w:rFonts w:ascii="Times New Roman" w:hAnsi="Times New Roman" w:cs="Times New Roman"/>
          <w:sz w:val="24"/>
          <w:szCs w:val="24"/>
        </w:rPr>
        <w:t xml:space="preserve">Пути </w:t>
      </w:r>
      <w:r w:rsidR="003B0653">
        <w:rPr>
          <w:rFonts w:ascii="Times New Roman" w:hAnsi="Times New Roman" w:cs="Times New Roman"/>
          <w:sz w:val="24"/>
          <w:szCs w:val="24"/>
        </w:rPr>
        <w:t>повышения</w:t>
      </w:r>
      <w:r w:rsidRPr="002D0B81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кафедры</w:t>
      </w:r>
    </w:p>
    <w:tbl>
      <w:tblPr>
        <w:tblStyle w:val="ac"/>
        <w:tblW w:w="0" w:type="auto"/>
        <w:tblLook w:val="04A0"/>
      </w:tblPr>
      <w:tblGrid>
        <w:gridCol w:w="3809"/>
        <w:gridCol w:w="975"/>
        <w:gridCol w:w="1046"/>
        <w:gridCol w:w="961"/>
        <w:gridCol w:w="961"/>
        <w:gridCol w:w="963"/>
        <w:gridCol w:w="856"/>
      </w:tblGrid>
      <w:tr w:rsidR="00373953" w:rsidRPr="002D0B81" w:rsidTr="00741FEE">
        <w:tc>
          <w:tcPr>
            <w:tcW w:w="3809" w:type="dxa"/>
          </w:tcPr>
          <w:p w:rsidR="00373953" w:rsidRPr="002D0B81" w:rsidRDefault="00403910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3B06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75" w:type="dxa"/>
          </w:tcPr>
          <w:p w:rsidR="00373953" w:rsidRPr="002D0B81" w:rsidRDefault="00373953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73953" w:rsidRPr="002D0B81" w:rsidRDefault="00373953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46" w:type="dxa"/>
          </w:tcPr>
          <w:p w:rsidR="00373953" w:rsidRPr="002D0B81" w:rsidRDefault="00373953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1" w:type="dxa"/>
          </w:tcPr>
          <w:p w:rsidR="00373953" w:rsidRPr="002D0B81" w:rsidRDefault="00373953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373953" w:rsidRPr="002D0B81" w:rsidRDefault="00373953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3" w:type="dxa"/>
          </w:tcPr>
          <w:p w:rsidR="00373953" w:rsidRPr="002D0B81" w:rsidRDefault="00373953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6" w:type="dxa"/>
          </w:tcPr>
          <w:p w:rsidR="00373953" w:rsidRPr="002D0B81" w:rsidRDefault="00373953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73953" w:rsidRPr="002D0B81" w:rsidTr="00741FEE">
        <w:tc>
          <w:tcPr>
            <w:tcW w:w="3809" w:type="dxa"/>
          </w:tcPr>
          <w:p w:rsidR="00373953" w:rsidRPr="002D0B81" w:rsidRDefault="00741FEE" w:rsidP="001B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1B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коммерциализированных  объектов </w:t>
            </w:r>
            <w:r w:rsidRPr="002D0B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интеллектуальной собственности</w:t>
            </w:r>
            <w:r w:rsidR="001B7D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1B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(патентов, свидетельств, программ для ЭВМ и т.п.)</w:t>
            </w:r>
            <w:r w:rsidRPr="002D0B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1B7D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единиц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373953" w:rsidRPr="002D0B81" w:rsidRDefault="00373953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373953" w:rsidRPr="002D0B81" w:rsidRDefault="00373953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373953" w:rsidRPr="002D0B81" w:rsidRDefault="00373953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373953" w:rsidRPr="002D0B81" w:rsidRDefault="00373953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73953" w:rsidRPr="002D0B81" w:rsidRDefault="00373953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373953" w:rsidRPr="002D0B81" w:rsidRDefault="00373953" w:rsidP="002D0B81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FEE" w:rsidRPr="002D0B81" w:rsidTr="00741FEE">
        <w:tc>
          <w:tcPr>
            <w:tcW w:w="3809" w:type="dxa"/>
          </w:tcPr>
          <w:p w:rsidR="00741FEE" w:rsidRPr="002D0B81" w:rsidRDefault="00741FEE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проектов, получивших средства от институтов поддержки и развития инноваций, инвесторов, партнеров и инвестиционных фондов или заказы от реального сектора экономики, </w:t>
            </w:r>
            <w:r w:rsidRPr="001B7D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75" w:type="dxa"/>
          </w:tcPr>
          <w:p w:rsidR="00741FEE" w:rsidRPr="002D0B81" w:rsidRDefault="00741FEE" w:rsidP="002D0B8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741FEE" w:rsidRPr="002D0B81" w:rsidRDefault="00741FEE" w:rsidP="002D0B8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741FEE" w:rsidRPr="002D0B81" w:rsidRDefault="00741FEE" w:rsidP="002D0B8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741FEE" w:rsidRPr="002D0B81" w:rsidRDefault="00741FEE" w:rsidP="002D0B8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741FEE" w:rsidRPr="002D0B81" w:rsidRDefault="00741FEE" w:rsidP="002D0B8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741FEE" w:rsidRPr="002D0B81" w:rsidRDefault="00741FEE" w:rsidP="002D0B81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FEE" w:rsidRPr="002D0B81" w:rsidTr="00741FEE">
        <w:tc>
          <w:tcPr>
            <w:tcW w:w="3809" w:type="dxa"/>
          </w:tcPr>
          <w:p w:rsidR="001B7D9D" w:rsidRDefault="00741FEE" w:rsidP="001B7D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1B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="001B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FEE" w:rsidRPr="002D0B81" w:rsidRDefault="00741FEE" w:rsidP="001B7D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="00403910"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принимавших участие в мероприятиях инновационной и предпринимательской направленностей, </w:t>
            </w:r>
            <w:r w:rsidRPr="001B7D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75" w:type="dxa"/>
          </w:tcPr>
          <w:p w:rsidR="00741FEE" w:rsidRPr="002D0B81" w:rsidRDefault="00741FEE" w:rsidP="002D0B8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741FEE" w:rsidRPr="002D0B81" w:rsidRDefault="00741FEE" w:rsidP="002D0B8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741FEE" w:rsidRPr="002D0B81" w:rsidRDefault="00741FEE" w:rsidP="002D0B8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741FEE" w:rsidRPr="002D0B81" w:rsidRDefault="00741FEE" w:rsidP="002D0B8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741FEE" w:rsidRPr="002D0B81" w:rsidRDefault="00741FEE" w:rsidP="002D0B8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741FEE" w:rsidRPr="002D0B81" w:rsidRDefault="00741FEE" w:rsidP="002D0B8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41FEE" w:rsidRPr="002D0B81" w:rsidTr="00741FEE">
        <w:tc>
          <w:tcPr>
            <w:tcW w:w="3809" w:type="dxa"/>
          </w:tcPr>
          <w:p w:rsidR="00741FEE" w:rsidRPr="002D0B81" w:rsidRDefault="00741FEE" w:rsidP="002D0B81">
            <w:pPr>
              <w:shd w:val="clear" w:color="auto" w:fill="FFFFFF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новых экспонатов научных и инновационных разработок, представленных на российских и международных выставках, </w:t>
            </w:r>
            <w:r w:rsidRPr="001B7D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75" w:type="dxa"/>
          </w:tcPr>
          <w:p w:rsidR="00741FEE" w:rsidRPr="002D0B81" w:rsidRDefault="00741FEE" w:rsidP="002D0B8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741FEE" w:rsidRPr="002D0B81" w:rsidRDefault="00741FEE" w:rsidP="002D0B8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741FEE" w:rsidRPr="002D0B81" w:rsidRDefault="00741FEE" w:rsidP="002D0B8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741FEE" w:rsidRPr="002D0B81" w:rsidRDefault="00741FEE" w:rsidP="002D0B8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41FEE" w:rsidRPr="002D0B81" w:rsidRDefault="00741FEE" w:rsidP="002D0B8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741FEE" w:rsidRPr="002D0B81" w:rsidRDefault="00741FEE" w:rsidP="002D0B81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77E9" w:rsidRPr="002D0B81" w:rsidRDefault="00A677E9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7E9" w:rsidRPr="002D0B81" w:rsidRDefault="00827149" w:rsidP="002D0B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Проведение вышеуказанных мероприятий</w:t>
      </w:r>
      <w:r w:rsidR="00BF3A70" w:rsidRPr="002D0B81">
        <w:rPr>
          <w:rFonts w:ascii="Times New Roman" w:hAnsi="Times New Roman" w:cs="Times New Roman"/>
          <w:sz w:val="24"/>
          <w:szCs w:val="24"/>
        </w:rPr>
        <w:t xml:space="preserve"> по интенсификации научно-образо</w:t>
      </w:r>
      <w:r w:rsidR="003B0653">
        <w:rPr>
          <w:rFonts w:ascii="Times New Roman" w:hAnsi="Times New Roman" w:cs="Times New Roman"/>
          <w:sz w:val="24"/>
          <w:szCs w:val="24"/>
        </w:rPr>
        <w:t>-</w:t>
      </w:r>
      <w:r w:rsidR="00BF3A70" w:rsidRPr="002D0B81">
        <w:rPr>
          <w:rFonts w:ascii="Times New Roman" w:hAnsi="Times New Roman" w:cs="Times New Roman"/>
          <w:sz w:val="24"/>
          <w:szCs w:val="24"/>
        </w:rPr>
        <w:t>вательной и инновационной  деятельности кафедры направлен</w:t>
      </w:r>
      <w:r w:rsidR="00385A87">
        <w:rPr>
          <w:rFonts w:ascii="Times New Roman" w:hAnsi="Times New Roman" w:cs="Times New Roman"/>
          <w:sz w:val="24"/>
          <w:szCs w:val="24"/>
        </w:rPr>
        <w:t>ы</w:t>
      </w:r>
      <w:r w:rsidR="00BF3A70" w:rsidRPr="002D0B81">
        <w:rPr>
          <w:rFonts w:ascii="Times New Roman" w:hAnsi="Times New Roman" w:cs="Times New Roman"/>
          <w:sz w:val="24"/>
          <w:szCs w:val="24"/>
        </w:rPr>
        <w:t xml:space="preserve"> на </w:t>
      </w:r>
      <w:r w:rsidR="00F740E9" w:rsidRPr="002D0B81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F3A70" w:rsidRPr="002D0B81">
        <w:rPr>
          <w:rFonts w:ascii="Times New Roman" w:hAnsi="Times New Roman" w:cs="Times New Roman"/>
          <w:sz w:val="24"/>
          <w:szCs w:val="24"/>
        </w:rPr>
        <w:t>в период с 2017</w:t>
      </w:r>
      <w:r w:rsidR="00083FDC">
        <w:rPr>
          <w:rFonts w:ascii="Times New Roman" w:hAnsi="Times New Roman" w:cs="Times New Roman"/>
          <w:sz w:val="24"/>
          <w:szCs w:val="24"/>
        </w:rPr>
        <w:t xml:space="preserve"> </w:t>
      </w:r>
      <w:r w:rsidR="00BF3A70" w:rsidRPr="002D0B81">
        <w:rPr>
          <w:rFonts w:ascii="Times New Roman" w:hAnsi="Times New Roman" w:cs="Times New Roman"/>
          <w:sz w:val="24"/>
          <w:szCs w:val="24"/>
        </w:rPr>
        <w:t>г</w:t>
      </w:r>
      <w:r w:rsidR="002D0B81">
        <w:rPr>
          <w:rFonts w:ascii="Times New Roman" w:hAnsi="Times New Roman" w:cs="Times New Roman"/>
          <w:sz w:val="24"/>
          <w:szCs w:val="24"/>
        </w:rPr>
        <w:t>.</w:t>
      </w:r>
      <w:r w:rsidR="00BF3A70" w:rsidRPr="002D0B81">
        <w:rPr>
          <w:rFonts w:ascii="Times New Roman" w:hAnsi="Times New Roman" w:cs="Times New Roman"/>
          <w:sz w:val="24"/>
          <w:szCs w:val="24"/>
        </w:rPr>
        <w:t xml:space="preserve"> имеющ</w:t>
      </w:r>
      <w:r w:rsidR="00F740E9" w:rsidRPr="002D0B81">
        <w:rPr>
          <w:rFonts w:ascii="Times New Roman" w:hAnsi="Times New Roman" w:cs="Times New Roman"/>
          <w:sz w:val="24"/>
          <w:szCs w:val="24"/>
        </w:rPr>
        <w:t xml:space="preserve">ихся </w:t>
      </w:r>
      <w:r w:rsidR="00BF3A70" w:rsidRPr="002D0B81">
        <w:rPr>
          <w:rFonts w:ascii="Times New Roman" w:hAnsi="Times New Roman" w:cs="Times New Roman"/>
          <w:sz w:val="24"/>
          <w:szCs w:val="24"/>
        </w:rPr>
        <w:t>показател</w:t>
      </w:r>
      <w:r w:rsidR="00F740E9" w:rsidRPr="002D0B81">
        <w:rPr>
          <w:rFonts w:ascii="Times New Roman" w:hAnsi="Times New Roman" w:cs="Times New Roman"/>
          <w:sz w:val="24"/>
          <w:szCs w:val="24"/>
        </w:rPr>
        <w:t>ей</w:t>
      </w:r>
      <w:r w:rsidR="00BF3A70" w:rsidRPr="002D0B81">
        <w:rPr>
          <w:rFonts w:ascii="Times New Roman" w:hAnsi="Times New Roman" w:cs="Times New Roman"/>
          <w:sz w:val="24"/>
          <w:szCs w:val="24"/>
        </w:rPr>
        <w:t xml:space="preserve"> на одного НПР по количеству</w:t>
      </w:r>
      <w:r w:rsidR="00A677E9" w:rsidRPr="002D0B81">
        <w:rPr>
          <w:rFonts w:ascii="Times New Roman" w:hAnsi="Times New Roman" w:cs="Times New Roman"/>
          <w:sz w:val="24"/>
          <w:szCs w:val="24"/>
        </w:rPr>
        <w:t xml:space="preserve"> статей в научной периодике, включенных в перечень ВАК </w:t>
      </w:r>
      <w:r w:rsidR="00BF3A70" w:rsidRPr="002D0B81">
        <w:rPr>
          <w:rFonts w:ascii="Times New Roman" w:hAnsi="Times New Roman" w:cs="Times New Roman"/>
          <w:sz w:val="24"/>
          <w:szCs w:val="24"/>
        </w:rPr>
        <w:t>1,53 ед</w:t>
      </w:r>
      <w:r w:rsidR="00A677E9" w:rsidRPr="002D0B81">
        <w:rPr>
          <w:rFonts w:ascii="Times New Roman" w:hAnsi="Times New Roman" w:cs="Times New Roman"/>
          <w:sz w:val="24"/>
          <w:szCs w:val="24"/>
        </w:rPr>
        <w:t>.</w:t>
      </w:r>
      <w:r w:rsidR="00BF3A70" w:rsidRPr="002D0B81">
        <w:rPr>
          <w:rFonts w:ascii="Times New Roman" w:hAnsi="Times New Roman" w:cs="Times New Roman"/>
          <w:sz w:val="24"/>
          <w:szCs w:val="24"/>
        </w:rPr>
        <w:t xml:space="preserve"> в год,</w:t>
      </w:r>
      <w:r w:rsidR="00A677E9" w:rsidRPr="002D0B81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6A71D1">
        <w:rPr>
          <w:rFonts w:ascii="Times New Roman" w:hAnsi="Times New Roman" w:cs="Times New Roman"/>
          <w:sz w:val="24"/>
          <w:szCs w:val="24"/>
        </w:rPr>
        <w:t>у</w:t>
      </w:r>
      <w:r w:rsidR="00A677E9" w:rsidRPr="002D0B81">
        <w:rPr>
          <w:rFonts w:ascii="Times New Roman" w:hAnsi="Times New Roman" w:cs="Times New Roman"/>
          <w:sz w:val="24"/>
          <w:szCs w:val="24"/>
        </w:rPr>
        <w:t xml:space="preserve"> статей в МБЦ (</w:t>
      </w:r>
      <w:r w:rsidR="00A677E9" w:rsidRPr="002D0B81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="00A677E9" w:rsidRPr="002D0B81">
        <w:rPr>
          <w:rFonts w:ascii="Times New Roman" w:hAnsi="Times New Roman" w:cs="Times New Roman"/>
          <w:sz w:val="24"/>
          <w:szCs w:val="24"/>
        </w:rPr>
        <w:t xml:space="preserve">, </w:t>
      </w:r>
      <w:r w:rsidR="00A677E9" w:rsidRPr="002D0B81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A677E9" w:rsidRPr="002D0B81">
        <w:rPr>
          <w:rFonts w:ascii="Times New Roman" w:hAnsi="Times New Roman" w:cs="Times New Roman"/>
          <w:sz w:val="24"/>
          <w:szCs w:val="24"/>
        </w:rPr>
        <w:t xml:space="preserve">) </w:t>
      </w:r>
      <w:r w:rsidR="001B7D9D">
        <w:rPr>
          <w:rFonts w:ascii="Times New Roman" w:hAnsi="Times New Roman" w:cs="Times New Roman"/>
          <w:sz w:val="24"/>
          <w:szCs w:val="24"/>
        </w:rPr>
        <w:t xml:space="preserve">– </w:t>
      </w:r>
      <w:r w:rsidR="00BF3A70" w:rsidRPr="002D0B81">
        <w:rPr>
          <w:rFonts w:ascii="Times New Roman" w:hAnsi="Times New Roman" w:cs="Times New Roman"/>
          <w:sz w:val="24"/>
          <w:szCs w:val="24"/>
        </w:rPr>
        <w:t>0.21</w:t>
      </w:r>
      <w:r w:rsidR="002D0B81">
        <w:rPr>
          <w:rFonts w:ascii="Times New Roman" w:hAnsi="Times New Roman" w:cs="Times New Roman"/>
          <w:sz w:val="24"/>
          <w:szCs w:val="24"/>
        </w:rPr>
        <w:t xml:space="preserve"> </w:t>
      </w:r>
      <w:r w:rsidR="00BF3A70" w:rsidRPr="002D0B81">
        <w:rPr>
          <w:rFonts w:ascii="Times New Roman" w:hAnsi="Times New Roman" w:cs="Times New Roman"/>
          <w:sz w:val="24"/>
          <w:szCs w:val="24"/>
        </w:rPr>
        <w:t>ед</w:t>
      </w:r>
      <w:r w:rsidR="002D0B81">
        <w:rPr>
          <w:rFonts w:ascii="Times New Roman" w:hAnsi="Times New Roman" w:cs="Times New Roman"/>
          <w:sz w:val="24"/>
          <w:szCs w:val="24"/>
        </w:rPr>
        <w:t>.</w:t>
      </w:r>
      <w:r w:rsidR="00BF3A70" w:rsidRPr="002D0B81">
        <w:rPr>
          <w:rFonts w:ascii="Times New Roman" w:hAnsi="Times New Roman" w:cs="Times New Roman"/>
          <w:sz w:val="24"/>
          <w:szCs w:val="24"/>
        </w:rPr>
        <w:t xml:space="preserve"> в год, </w:t>
      </w:r>
      <w:r w:rsidR="00A677E9" w:rsidRPr="002D0B81">
        <w:rPr>
          <w:rFonts w:ascii="Times New Roman" w:hAnsi="Times New Roman" w:cs="Times New Roman"/>
          <w:sz w:val="24"/>
          <w:szCs w:val="24"/>
        </w:rPr>
        <w:t xml:space="preserve">доходов из всех источников от научной и инновационной деятельности </w:t>
      </w:r>
      <w:r w:rsidR="001B7D9D">
        <w:rPr>
          <w:rFonts w:ascii="Times New Roman" w:hAnsi="Times New Roman" w:cs="Times New Roman"/>
          <w:sz w:val="24"/>
          <w:szCs w:val="24"/>
        </w:rPr>
        <w:t xml:space="preserve">– </w:t>
      </w:r>
      <w:r w:rsidR="00BF3A70" w:rsidRPr="002D0B81">
        <w:rPr>
          <w:rFonts w:ascii="Times New Roman" w:hAnsi="Times New Roman" w:cs="Times New Roman"/>
          <w:sz w:val="24"/>
          <w:szCs w:val="24"/>
        </w:rPr>
        <w:t>0,22 млн</w:t>
      </w:r>
      <w:r w:rsidR="00A677E9" w:rsidRPr="002D0B81">
        <w:rPr>
          <w:rFonts w:ascii="Times New Roman" w:hAnsi="Times New Roman" w:cs="Times New Roman"/>
          <w:sz w:val="24"/>
          <w:szCs w:val="24"/>
        </w:rPr>
        <w:t xml:space="preserve"> </w:t>
      </w:r>
      <w:r w:rsidR="00BF3A70" w:rsidRPr="002D0B81">
        <w:rPr>
          <w:rFonts w:ascii="Times New Roman" w:hAnsi="Times New Roman" w:cs="Times New Roman"/>
          <w:sz w:val="24"/>
          <w:szCs w:val="24"/>
        </w:rPr>
        <w:t>руб</w:t>
      </w:r>
      <w:r w:rsidR="002D0B81">
        <w:rPr>
          <w:rFonts w:ascii="Times New Roman" w:hAnsi="Times New Roman" w:cs="Times New Roman"/>
          <w:sz w:val="24"/>
          <w:szCs w:val="24"/>
        </w:rPr>
        <w:t>.</w:t>
      </w:r>
      <w:r w:rsidR="00BF3A70" w:rsidRPr="002D0B81">
        <w:rPr>
          <w:rFonts w:ascii="Times New Roman" w:hAnsi="Times New Roman" w:cs="Times New Roman"/>
          <w:sz w:val="24"/>
          <w:szCs w:val="24"/>
        </w:rPr>
        <w:t xml:space="preserve"> </w:t>
      </w:r>
      <w:r w:rsidR="00F740E9" w:rsidRPr="002D0B81">
        <w:rPr>
          <w:rFonts w:ascii="Times New Roman" w:hAnsi="Times New Roman" w:cs="Times New Roman"/>
          <w:sz w:val="24"/>
          <w:szCs w:val="24"/>
        </w:rPr>
        <w:t xml:space="preserve"> </w:t>
      </w:r>
      <w:r w:rsidR="006A71D1">
        <w:rPr>
          <w:rFonts w:ascii="Times New Roman" w:hAnsi="Times New Roman" w:cs="Times New Roman"/>
          <w:sz w:val="24"/>
          <w:szCs w:val="24"/>
        </w:rPr>
        <w:t>к</w:t>
      </w:r>
      <w:r w:rsidR="00F740E9" w:rsidRPr="002D0B81">
        <w:rPr>
          <w:rFonts w:ascii="Times New Roman" w:hAnsi="Times New Roman" w:cs="Times New Roman"/>
          <w:sz w:val="24"/>
          <w:szCs w:val="24"/>
        </w:rPr>
        <w:t xml:space="preserve"> </w:t>
      </w:r>
      <w:r w:rsidR="00BF3A70" w:rsidRPr="002D0B81">
        <w:rPr>
          <w:rFonts w:ascii="Times New Roman" w:hAnsi="Times New Roman" w:cs="Times New Roman"/>
          <w:sz w:val="24"/>
          <w:szCs w:val="24"/>
        </w:rPr>
        <w:t>2021 год</w:t>
      </w:r>
      <w:r w:rsidR="00F740E9" w:rsidRPr="002D0B81">
        <w:rPr>
          <w:rFonts w:ascii="Times New Roman" w:hAnsi="Times New Roman" w:cs="Times New Roman"/>
          <w:sz w:val="24"/>
          <w:szCs w:val="24"/>
        </w:rPr>
        <w:t>у</w:t>
      </w:r>
      <w:r w:rsidR="00BF3A70" w:rsidRPr="002D0B81">
        <w:rPr>
          <w:rFonts w:ascii="Times New Roman" w:hAnsi="Times New Roman" w:cs="Times New Roman"/>
          <w:sz w:val="24"/>
          <w:szCs w:val="24"/>
        </w:rPr>
        <w:t xml:space="preserve"> </w:t>
      </w:r>
      <w:r w:rsidR="00F740E9" w:rsidRPr="002D0B81">
        <w:rPr>
          <w:rFonts w:ascii="Times New Roman" w:hAnsi="Times New Roman" w:cs="Times New Roman"/>
          <w:sz w:val="24"/>
          <w:szCs w:val="24"/>
        </w:rPr>
        <w:t xml:space="preserve"> до </w:t>
      </w:r>
      <w:r w:rsidR="00BF3A70" w:rsidRPr="002D0B81">
        <w:rPr>
          <w:rFonts w:ascii="Times New Roman" w:hAnsi="Times New Roman" w:cs="Times New Roman"/>
          <w:sz w:val="24"/>
          <w:szCs w:val="24"/>
        </w:rPr>
        <w:t>показателей  в размере</w:t>
      </w:r>
      <w:r w:rsidR="00F740E9" w:rsidRPr="002D0B81">
        <w:rPr>
          <w:rFonts w:ascii="Times New Roman" w:hAnsi="Times New Roman" w:cs="Times New Roman"/>
          <w:sz w:val="24"/>
          <w:szCs w:val="24"/>
        </w:rPr>
        <w:t xml:space="preserve"> 1,8 ед</w:t>
      </w:r>
      <w:r w:rsidR="002D0B81">
        <w:rPr>
          <w:rFonts w:ascii="Times New Roman" w:hAnsi="Times New Roman" w:cs="Times New Roman"/>
          <w:sz w:val="24"/>
          <w:szCs w:val="24"/>
        </w:rPr>
        <w:t>.</w:t>
      </w:r>
      <w:r w:rsidR="00F740E9" w:rsidRPr="002D0B81">
        <w:rPr>
          <w:rFonts w:ascii="Times New Roman" w:hAnsi="Times New Roman" w:cs="Times New Roman"/>
          <w:sz w:val="24"/>
          <w:szCs w:val="24"/>
        </w:rPr>
        <w:t xml:space="preserve"> в год, </w:t>
      </w:r>
      <w:r w:rsidR="00083FDC">
        <w:rPr>
          <w:rFonts w:ascii="Times New Roman" w:hAnsi="Times New Roman" w:cs="Times New Roman"/>
          <w:sz w:val="24"/>
          <w:szCs w:val="24"/>
        </w:rPr>
        <w:t>0,</w:t>
      </w:r>
      <w:r w:rsidR="00F740E9" w:rsidRPr="002D0B81">
        <w:rPr>
          <w:rFonts w:ascii="Times New Roman" w:hAnsi="Times New Roman" w:cs="Times New Roman"/>
          <w:sz w:val="24"/>
          <w:szCs w:val="24"/>
        </w:rPr>
        <w:t>3 ед.</w:t>
      </w:r>
      <w:r w:rsidR="002D0B81">
        <w:rPr>
          <w:rFonts w:ascii="Times New Roman" w:hAnsi="Times New Roman" w:cs="Times New Roman"/>
          <w:sz w:val="24"/>
          <w:szCs w:val="24"/>
        </w:rPr>
        <w:t xml:space="preserve"> в год и 0.35 млн </w:t>
      </w:r>
      <w:r w:rsidR="002D0B81" w:rsidRPr="002D0B81">
        <w:rPr>
          <w:rFonts w:ascii="Times New Roman" w:hAnsi="Times New Roman" w:cs="Times New Roman"/>
          <w:sz w:val="24"/>
          <w:szCs w:val="24"/>
        </w:rPr>
        <w:t>руб</w:t>
      </w:r>
      <w:r w:rsidR="002D0B81">
        <w:rPr>
          <w:rFonts w:ascii="Times New Roman" w:hAnsi="Times New Roman" w:cs="Times New Roman"/>
          <w:sz w:val="24"/>
          <w:szCs w:val="24"/>
        </w:rPr>
        <w:t>. в</w:t>
      </w:r>
      <w:r w:rsidR="00F740E9" w:rsidRPr="002D0B81">
        <w:rPr>
          <w:rFonts w:ascii="Times New Roman" w:hAnsi="Times New Roman" w:cs="Times New Roman"/>
          <w:sz w:val="24"/>
          <w:szCs w:val="24"/>
        </w:rPr>
        <w:t xml:space="preserve"> год соответственно.</w:t>
      </w:r>
    </w:p>
    <w:p w:rsidR="008E1927" w:rsidRDefault="008E1927" w:rsidP="002D0B81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Блок 2. Учебно-методическая работа</w:t>
      </w:r>
    </w:p>
    <w:p w:rsidR="003B0653" w:rsidRPr="003B0653" w:rsidRDefault="003B0653" w:rsidP="003B0653"/>
    <w:p w:rsidR="008E1927" w:rsidRPr="002D0B81" w:rsidRDefault="008E1927" w:rsidP="002D0B8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Планируется дальнейшая корректировка рабочих программ дисциплин и фондов оценочных средств, материалов лекций и практических занятий, </w:t>
      </w:r>
      <w:r w:rsidR="006A71D1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2D0B81">
        <w:rPr>
          <w:rFonts w:ascii="Times New Roman" w:hAnsi="Times New Roman" w:cs="Times New Roman"/>
          <w:sz w:val="24"/>
          <w:szCs w:val="24"/>
        </w:rPr>
        <w:t xml:space="preserve">магистратуры по направлению подготовки высшего образования ОПОП 20.04.01 </w:t>
      </w:r>
      <w:r w:rsidRPr="002D0B81">
        <w:rPr>
          <w:rFonts w:ascii="Times New Roman" w:hAnsi="Times New Roman" w:cs="Times New Roman"/>
          <w:bCs/>
          <w:sz w:val="24"/>
          <w:szCs w:val="24"/>
        </w:rPr>
        <w:t xml:space="preserve">«Техносферная безопасность» </w:t>
      </w:r>
      <w:r w:rsidRPr="002D0B81">
        <w:rPr>
          <w:rFonts w:ascii="Times New Roman" w:hAnsi="Times New Roman" w:cs="Times New Roman"/>
          <w:sz w:val="24"/>
          <w:szCs w:val="24"/>
        </w:rPr>
        <w:t>в свете новых положений и достижений, в частности, в обл</w:t>
      </w:r>
      <w:r w:rsidR="006A71D1">
        <w:rPr>
          <w:rFonts w:ascii="Times New Roman" w:hAnsi="Times New Roman" w:cs="Times New Roman"/>
          <w:sz w:val="24"/>
          <w:szCs w:val="24"/>
        </w:rPr>
        <w:t>асти промышленной безопасности;</w:t>
      </w:r>
      <w:r w:rsidRPr="002D0B81">
        <w:rPr>
          <w:rFonts w:ascii="Times New Roman" w:hAnsi="Times New Roman" w:cs="Times New Roman"/>
          <w:sz w:val="24"/>
          <w:szCs w:val="24"/>
        </w:rPr>
        <w:t xml:space="preserve"> обсуждение и контроль обновления РПД, ФОС дисциплин и ГИА и др</w:t>
      </w:r>
      <w:r w:rsidR="00C43413" w:rsidRPr="002D0B81">
        <w:rPr>
          <w:rFonts w:ascii="Times New Roman" w:hAnsi="Times New Roman" w:cs="Times New Roman"/>
          <w:sz w:val="24"/>
          <w:szCs w:val="24"/>
        </w:rPr>
        <w:t xml:space="preserve">угих </w:t>
      </w:r>
      <w:r w:rsidRPr="002D0B81">
        <w:rPr>
          <w:rFonts w:ascii="Times New Roman" w:hAnsi="Times New Roman" w:cs="Times New Roman"/>
          <w:sz w:val="24"/>
          <w:szCs w:val="24"/>
        </w:rPr>
        <w:t xml:space="preserve"> комплексов УМКД, инновационных </w:t>
      </w:r>
      <w:r w:rsidR="006A71D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2D0B81">
        <w:rPr>
          <w:rFonts w:ascii="Times New Roman" w:hAnsi="Times New Roman" w:cs="Times New Roman"/>
          <w:sz w:val="24"/>
          <w:szCs w:val="24"/>
        </w:rPr>
        <w:t xml:space="preserve">технологий на постоянно действующих научно-методических семинарах кафедры. </w:t>
      </w:r>
    </w:p>
    <w:p w:rsidR="003B0653" w:rsidRDefault="003B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1927" w:rsidRPr="002D0B81" w:rsidRDefault="008E1927" w:rsidP="002D0B81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Планируется:</w:t>
      </w:r>
    </w:p>
    <w:p w:rsidR="008E1927" w:rsidRPr="002D0B81" w:rsidRDefault="008E1927" w:rsidP="002D0B81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– работа по развитию образовательных </w:t>
      </w:r>
      <w:r w:rsidRPr="002D0B8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D0B81">
        <w:rPr>
          <w:rFonts w:ascii="Times New Roman" w:hAnsi="Times New Roman" w:cs="Times New Roman"/>
          <w:sz w:val="24"/>
          <w:szCs w:val="24"/>
        </w:rPr>
        <w:t>-</w:t>
      </w:r>
      <w:r w:rsidRPr="002D0B81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2D0B81">
        <w:rPr>
          <w:rFonts w:ascii="Times New Roman" w:hAnsi="Times New Roman" w:cs="Times New Roman"/>
          <w:sz w:val="24"/>
          <w:szCs w:val="24"/>
        </w:rPr>
        <w:t xml:space="preserve"> ресурсов, разработке методического обеспечения для самостоятельной работы студентов:</w:t>
      </w:r>
    </w:p>
    <w:p w:rsidR="008E1927" w:rsidRPr="002D0B81" w:rsidRDefault="008E1927" w:rsidP="002D0B8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– регулярное повышение квалификации преподавателей (не менее 1 раза в 3 года). </w:t>
      </w:r>
    </w:p>
    <w:p w:rsidR="008E1927" w:rsidRPr="002D0B81" w:rsidRDefault="008E1927" w:rsidP="002D0B8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– регулярный контроль обеспечения научно-образовательной деятельности необходимой литературой (не реже 1 раза в год).</w:t>
      </w:r>
    </w:p>
    <w:p w:rsidR="008E1927" w:rsidRPr="002D0B81" w:rsidRDefault="008E1927" w:rsidP="002D0B81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– подготовка учебно-методических пособий  на электронных носителях.</w:t>
      </w:r>
    </w:p>
    <w:p w:rsidR="008E1927" w:rsidRDefault="008E1927" w:rsidP="002D0B81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Блок 3. Международное сотрудничество</w:t>
      </w:r>
    </w:p>
    <w:p w:rsidR="003B0653" w:rsidRPr="003B0653" w:rsidRDefault="003B0653" w:rsidP="003B0653"/>
    <w:p w:rsidR="008E1927" w:rsidRPr="002D0B81" w:rsidRDefault="008E1927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В области международного сотрудничества планируется участие</w:t>
      </w:r>
      <w:r w:rsidR="00C4341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аспирантов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бакалавров и магистров в программах международной мобильности, а также в международных проектах. Необходимо развивать международные отношения с ведущими международными ВУЗами, осуществлять обмен аспирантов и магистрантов, свободно владеющими иностранными языками, с зарубежными университетами, имеющими соответствующие соглашения с ПНИПУ. Систематически </w:t>
      </w:r>
      <w:r w:rsidR="0082714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раз в </w:t>
      </w:r>
      <w:r w:rsidR="001B7D9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2714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года)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на кафедре </w:t>
      </w:r>
      <w:r w:rsidR="0082714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Международные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научно-практические конференции с привлечением </w:t>
      </w:r>
      <w:r w:rsidR="0082714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ведущих ученых и специалистов РФ и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зарубежных ученых. </w:t>
      </w:r>
    </w:p>
    <w:p w:rsidR="00966492" w:rsidRDefault="006A1904" w:rsidP="002D0B81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Блок 4. </w:t>
      </w:r>
      <w:r w:rsidR="003B0653" w:rsidRPr="002D0B81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3B0653" w:rsidRPr="003B0653" w:rsidRDefault="003B0653" w:rsidP="003B0653"/>
    <w:p w:rsidR="00966492" w:rsidRPr="002D0B81" w:rsidRDefault="00966492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совершенствование материально-технической </w:t>
      </w:r>
      <w:r w:rsidR="0038446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лабораторной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базы</w:t>
      </w:r>
      <w:r w:rsidR="00384466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4466" w:rsidRPr="002D0B81" w:rsidRDefault="00384466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Предусматривается плановая замена учебного оборудования, компьютерной техники и регулярное обновление программного обеспечения</w:t>
      </w:r>
      <w:r w:rsidR="00C43413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4466" w:rsidRPr="002D0B81" w:rsidRDefault="00384466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Предусматривается также модернизация 2 учебно-исследовательских лабораторий в главном корпусе 313 к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А и 219 к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4466" w:rsidRPr="002D0B81" w:rsidRDefault="00384466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</w:t>
      </w:r>
      <w:r w:rsidR="00A15E9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A15E9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нд материальной поддержки сотрудников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 </w:t>
      </w:r>
      <w:r w:rsidR="00A15E9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на стимулирование эффективной работы 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740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Р.</w:t>
      </w:r>
    </w:p>
    <w:p w:rsidR="00A15E98" w:rsidRDefault="006A1904" w:rsidP="002D0B81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 xml:space="preserve">Блок 5. </w:t>
      </w:r>
      <w:r w:rsidR="003B0653" w:rsidRPr="002D0B81">
        <w:rPr>
          <w:rFonts w:ascii="Times New Roman" w:hAnsi="Times New Roman" w:cs="Times New Roman"/>
          <w:sz w:val="24"/>
          <w:szCs w:val="24"/>
        </w:rPr>
        <w:t>Научно-педагогические кадры</w:t>
      </w:r>
    </w:p>
    <w:p w:rsidR="003B0653" w:rsidRPr="003B0653" w:rsidRDefault="003B0653" w:rsidP="003B0653"/>
    <w:p w:rsidR="00F740E9" w:rsidRPr="002D0B81" w:rsidRDefault="006A1904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успешной работы </w:t>
      </w:r>
      <w:r w:rsidR="00A15E98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кафедры</w:t>
      </w:r>
      <w:r w:rsidR="008F06B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</w:t>
      </w:r>
      <w:r w:rsidR="00F740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непрерывное развитие и обновление </w:t>
      </w:r>
      <w:r w:rsidR="008F06BB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кадрового состава НПР. Решение данной проблемы возможно как</w:t>
      </w:r>
      <w:r w:rsidR="00C832F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подготовленных на кафедре магистрантов и аспирантов</w:t>
      </w:r>
      <w:r w:rsidR="00911EF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32FD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так и за счет приглашения на преподавательскую работу специалистов, имеющих ученые степени по профильным специальностям преподаваемых  на кафедре</w:t>
      </w:r>
      <w:r w:rsidR="001B7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</w:t>
      </w:r>
      <w:r w:rsidR="00911EF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этом  </w:t>
      </w:r>
      <w:r w:rsidR="00F90EA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важной </w:t>
      </w:r>
      <w:r w:rsidR="00911EF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задачей  </w:t>
      </w:r>
      <w:r w:rsidR="00F90EA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сохранение сложившихся профессиональных групп </w:t>
      </w:r>
      <w:r w:rsidR="004237BC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научным направлениям </w:t>
      </w:r>
      <w:r w:rsidR="00F90EA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и существующего кадрового состава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 w:rsidR="00F90EAF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0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7E9" w:rsidRPr="002D0B81">
        <w:rPr>
          <w:rFonts w:ascii="Times New Roman" w:hAnsi="Times New Roman" w:cs="Times New Roman"/>
          <w:sz w:val="24"/>
          <w:szCs w:val="24"/>
        </w:rPr>
        <w:t xml:space="preserve">Планируемое </w:t>
      </w:r>
      <w:r w:rsidR="00A677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кадров</w:t>
      </w:r>
      <w:r w:rsidR="002D0B8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A677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0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обновлени</w:t>
      </w:r>
      <w:r w:rsidR="002D0B8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740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  в период с 2017 - 2021 гг</w:t>
      </w:r>
      <w:r w:rsidR="002D0B8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0E9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представлена в  таблице 3.</w:t>
      </w:r>
    </w:p>
    <w:p w:rsidR="00F740E9" w:rsidRPr="002D0B81" w:rsidRDefault="00F740E9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0653" w:rsidRDefault="003B06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677E9" w:rsidRDefault="00A677E9" w:rsidP="002D0B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3 </w:t>
      </w:r>
      <w:r w:rsidR="001B7D9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B81">
        <w:rPr>
          <w:rFonts w:ascii="Times New Roman" w:hAnsi="Times New Roman" w:cs="Times New Roman"/>
          <w:sz w:val="24"/>
          <w:szCs w:val="24"/>
        </w:rPr>
        <w:t xml:space="preserve">Планируемое 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кадров</w:t>
      </w:r>
      <w:r w:rsidR="002D0B8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обновлени</w:t>
      </w:r>
      <w:r w:rsidR="002D0B81"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  в период с 2017</w:t>
      </w:r>
      <w:r w:rsidR="001B7D9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D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гг. </w:t>
      </w:r>
    </w:p>
    <w:p w:rsidR="002D0B81" w:rsidRPr="002D0B81" w:rsidRDefault="002D0B81" w:rsidP="002D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503"/>
        <w:gridCol w:w="992"/>
        <w:gridCol w:w="992"/>
        <w:gridCol w:w="851"/>
        <w:gridCol w:w="841"/>
        <w:gridCol w:w="696"/>
        <w:gridCol w:w="696"/>
      </w:tblGrid>
      <w:tr w:rsidR="00A677E9" w:rsidRPr="002D0B81" w:rsidTr="003B0653">
        <w:tc>
          <w:tcPr>
            <w:tcW w:w="4503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1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77E9" w:rsidRPr="002D0B81" w:rsidTr="003B0653">
        <w:tc>
          <w:tcPr>
            <w:tcW w:w="4503" w:type="dxa"/>
          </w:tcPr>
          <w:p w:rsidR="00A677E9" w:rsidRPr="002D0B81" w:rsidRDefault="00A677E9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Доля НПР старших преподавателей</w:t>
            </w:r>
          </w:p>
          <w:p w:rsidR="00A677E9" w:rsidRPr="002D0B81" w:rsidRDefault="00A677E9" w:rsidP="003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(ассистентов) от</w:t>
            </w:r>
            <w:r w:rsidR="003B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общего числа НПР, %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77E9" w:rsidRPr="002D0B81" w:rsidTr="003B0653">
        <w:tc>
          <w:tcPr>
            <w:tcW w:w="4503" w:type="dxa"/>
          </w:tcPr>
          <w:p w:rsidR="00A677E9" w:rsidRPr="002D0B81" w:rsidRDefault="00694EF1" w:rsidP="003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77E9" w:rsidRPr="002D0B81">
              <w:rPr>
                <w:rFonts w:ascii="Times New Roman" w:hAnsi="Times New Roman" w:cs="Times New Roman"/>
                <w:sz w:val="24"/>
                <w:szCs w:val="24"/>
              </w:rPr>
              <w:t>озраст НПР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B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7E9" w:rsidRPr="002D0B81">
              <w:rPr>
                <w:rFonts w:ascii="Times New Roman" w:hAnsi="Times New Roman" w:cs="Times New Roman"/>
                <w:sz w:val="24"/>
                <w:szCs w:val="24"/>
              </w:rPr>
              <w:t>старших преподавателей</w:t>
            </w:r>
            <w:r w:rsidR="003B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7E9" w:rsidRPr="002D0B81">
              <w:rPr>
                <w:rFonts w:ascii="Times New Roman" w:hAnsi="Times New Roman" w:cs="Times New Roman"/>
                <w:sz w:val="24"/>
                <w:szCs w:val="24"/>
              </w:rPr>
              <w:t>(ассистентов)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77E9" w:rsidRPr="002D0B81" w:rsidTr="003B0653">
        <w:tc>
          <w:tcPr>
            <w:tcW w:w="4503" w:type="dxa"/>
          </w:tcPr>
          <w:p w:rsidR="00A677E9" w:rsidRPr="002D0B81" w:rsidRDefault="00A677E9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Доля НПР</w:t>
            </w:r>
            <w:r w:rsidR="003B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кандидатов наук от</w:t>
            </w:r>
          </w:p>
          <w:p w:rsidR="00A677E9" w:rsidRPr="002D0B81" w:rsidRDefault="00A677E9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общего числа НПР, %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1B7D9D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677E9" w:rsidRPr="002D0B81" w:rsidTr="003B0653">
        <w:tc>
          <w:tcPr>
            <w:tcW w:w="4503" w:type="dxa"/>
          </w:tcPr>
          <w:p w:rsidR="00A677E9" w:rsidRPr="002D0B81" w:rsidRDefault="00A677E9" w:rsidP="00694EF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  <w:r w:rsidR="00694EF1">
              <w:rPr>
                <w:rFonts w:ascii="Times New Roman" w:hAnsi="Times New Roman" w:cs="Times New Roman"/>
                <w:sz w:val="24"/>
                <w:szCs w:val="24"/>
              </w:rPr>
              <w:t xml:space="preserve"> НПР – кандидатов наук, лет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1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677E9" w:rsidRPr="002D0B81" w:rsidTr="003B0653">
        <w:tc>
          <w:tcPr>
            <w:tcW w:w="4503" w:type="dxa"/>
          </w:tcPr>
          <w:p w:rsidR="00A677E9" w:rsidRPr="002D0B81" w:rsidRDefault="00A677E9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Доля НПР</w:t>
            </w:r>
            <w:r w:rsidR="003B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докторов наук от</w:t>
            </w:r>
          </w:p>
          <w:p w:rsidR="00A677E9" w:rsidRPr="002D0B81" w:rsidRDefault="00A677E9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общего числа НПР, %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1B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7E9" w:rsidRPr="002D0B81" w:rsidTr="003B0653">
        <w:tc>
          <w:tcPr>
            <w:tcW w:w="4503" w:type="dxa"/>
          </w:tcPr>
          <w:p w:rsidR="00A677E9" w:rsidRPr="002D0B81" w:rsidRDefault="00A677E9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Средний возраст НПР докторов наук</w:t>
            </w:r>
            <w:r w:rsidR="00694EF1"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677E9" w:rsidRPr="002D0B81" w:rsidTr="003B0653">
        <w:tc>
          <w:tcPr>
            <w:tcW w:w="4503" w:type="dxa"/>
          </w:tcPr>
          <w:p w:rsidR="00A677E9" w:rsidRPr="002D0B81" w:rsidRDefault="00A677E9" w:rsidP="003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Доля молодых сотрудников (до 40 лет) от общего  числа</w:t>
            </w:r>
            <w:r w:rsidR="003B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 xml:space="preserve"> НПР, %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677E9" w:rsidRPr="002D0B81" w:rsidTr="003B0653">
        <w:tc>
          <w:tcPr>
            <w:tcW w:w="4503" w:type="dxa"/>
          </w:tcPr>
          <w:p w:rsidR="00A677E9" w:rsidRPr="002D0B81" w:rsidRDefault="00A677E9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Доля НПР не старше пенсионного возраста от общего числа НПР, %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677E9" w:rsidRPr="002D0B81" w:rsidRDefault="00A677E9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034" w:rsidRPr="00694EF1" w:rsidRDefault="00316034" w:rsidP="0069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F1">
        <w:rPr>
          <w:rFonts w:ascii="Times New Roman" w:hAnsi="Times New Roman" w:cs="Times New Roman"/>
          <w:sz w:val="24"/>
          <w:szCs w:val="24"/>
        </w:rPr>
        <w:t xml:space="preserve">Для решения кадровых вопросов предлагаются </w:t>
      </w:r>
      <w:r w:rsidR="00694EF1" w:rsidRPr="00694EF1">
        <w:rPr>
          <w:rFonts w:ascii="Times New Roman" w:hAnsi="Times New Roman" w:cs="Times New Roman"/>
          <w:sz w:val="24"/>
          <w:szCs w:val="24"/>
        </w:rPr>
        <w:t>мероприятия по повышению кадрового потенциала кафедры</w:t>
      </w:r>
      <w:r w:rsidRPr="00694EF1">
        <w:rPr>
          <w:rFonts w:ascii="Times New Roman" w:hAnsi="Times New Roman" w:cs="Times New Roman"/>
          <w:sz w:val="24"/>
          <w:szCs w:val="24"/>
        </w:rPr>
        <w:t xml:space="preserve"> (таблица 4).</w:t>
      </w:r>
    </w:p>
    <w:p w:rsidR="00A677E9" w:rsidRPr="00694EF1" w:rsidRDefault="00A677E9" w:rsidP="002D0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6034" w:rsidRPr="00694EF1" w:rsidRDefault="00316034" w:rsidP="002D0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4EF1">
        <w:rPr>
          <w:rFonts w:ascii="Times New Roman" w:hAnsi="Times New Roman" w:cs="Times New Roman"/>
          <w:sz w:val="24"/>
          <w:szCs w:val="24"/>
        </w:rPr>
        <w:t>Таблица 4</w:t>
      </w:r>
      <w:r w:rsidR="001B7D9D">
        <w:rPr>
          <w:rFonts w:ascii="Times New Roman" w:hAnsi="Times New Roman" w:cs="Times New Roman"/>
          <w:sz w:val="24"/>
          <w:szCs w:val="24"/>
        </w:rPr>
        <w:t xml:space="preserve"> –</w:t>
      </w:r>
      <w:r w:rsidRPr="00694EF1">
        <w:rPr>
          <w:rFonts w:ascii="Times New Roman" w:hAnsi="Times New Roman" w:cs="Times New Roman"/>
          <w:sz w:val="24"/>
          <w:szCs w:val="24"/>
        </w:rPr>
        <w:t xml:space="preserve"> </w:t>
      </w:r>
      <w:r w:rsidR="002D0B81" w:rsidRPr="00694EF1">
        <w:rPr>
          <w:rFonts w:ascii="Times New Roman" w:hAnsi="Times New Roman" w:cs="Times New Roman"/>
          <w:sz w:val="24"/>
          <w:szCs w:val="24"/>
        </w:rPr>
        <w:t>Мероприятия по</w:t>
      </w:r>
      <w:r w:rsidRPr="00694EF1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2D0B81" w:rsidRPr="00694EF1">
        <w:rPr>
          <w:rFonts w:ascii="Times New Roman" w:hAnsi="Times New Roman" w:cs="Times New Roman"/>
          <w:sz w:val="24"/>
          <w:szCs w:val="24"/>
        </w:rPr>
        <w:t>ю</w:t>
      </w:r>
      <w:r w:rsidRPr="00694EF1">
        <w:rPr>
          <w:rFonts w:ascii="Times New Roman" w:hAnsi="Times New Roman" w:cs="Times New Roman"/>
          <w:sz w:val="24"/>
          <w:szCs w:val="24"/>
        </w:rPr>
        <w:t xml:space="preserve"> кадрового потенциала кафедры </w:t>
      </w:r>
    </w:p>
    <w:p w:rsidR="00A677E9" w:rsidRPr="00694EF1" w:rsidRDefault="00A677E9" w:rsidP="002D0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936"/>
        <w:gridCol w:w="1134"/>
        <w:gridCol w:w="1134"/>
        <w:gridCol w:w="850"/>
        <w:gridCol w:w="851"/>
        <w:gridCol w:w="850"/>
        <w:gridCol w:w="816"/>
      </w:tblGrid>
      <w:tr w:rsidR="00A677E9" w:rsidRPr="002D0B81" w:rsidTr="00694EF1">
        <w:tc>
          <w:tcPr>
            <w:tcW w:w="3936" w:type="dxa"/>
          </w:tcPr>
          <w:p w:rsidR="00A677E9" w:rsidRPr="00694EF1" w:rsidRDefault="002D0B81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A677E9" w:rsidRPr="00694EF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677E9" w:rsidRPr="00694EF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A677E9" w:rsidRPr="00694EF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A677E9" w:rsidRPr="00694EF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A677E9" w:rsidRPr="00694EF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A677E9" w:rsidRPr="00694EF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A677E9" w:rsidRPr="002D0B81" w:rsidRDefault="00A677E9" w:rsidP="002D0B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77E9" w:rsidRPr="002D0B81" w:rsidTr="00694EF1">
        <w:tc>
          <w:tcPr>
            <w:tcW w:w="3936" w:type="dxa"/>
          </w:tcPr>
          <w:p w:rsidR="00A677E9" w:rsidRPr="002D0B81" w:rsidRDefault="00A677E9" w:rsidP="006A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Количество защит канд</w:t>
            </w:r>
            <w:r w:rsidR="006A71D1">
              <w:rPr>
                <w:rFonts w:ascii="Times New Roman" w:hAnsi="Times New Roman" w:cs="Times New Roman"/>
                <w:sz w:val="24"/>
                <w:szCs w:val="24"/>
              </w:rPr>
              <w:t>идатских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диссертаций или привлека</w:t>
            </w:r>
            <w:r w:rsidR="00694EF1">
              <w:rPr>
                <w:rFonts w:ascii="Times New Roman" w:hAnsi="Times New Roman" w:cs="Times New Roman"/>
                <w:sz w:val="24"/>
                <w:szCs w:val="24"/>
              </w:rPr>
              <w:t xml:space="preserve">емых канд. наук из других ВУЗов, 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7E9" w:rsidRPr="002D0B81" w:rsidTr="00694EF1">
        <w:tc>
          <w:tcPr>
            <w:tcW w:w="3936" w:type="dxa"/>
          </w:tcPr>
          <w:p w:rsidR="00A677E9" w:rsidRPr="002D0B81" w:rsidRDefault="00A677E9" w:rsidP="0069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Доля НПР кафедры, прошедш</w:t>
            </w:r>
            <w:r w:rsidR="00694EF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9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течение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, %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77E9" w:rsidRPr="002D0B81" w:rsidTr="00694EF1">
        <w:tc>
          <w:tcPr>
            <w:tcW w:w="3936" w:type="dxa"/>
          </w:tcPr>
          <w:p w:rsidR="00A677E9" w:rsidRPr="002D0B81" w:rsidRDefault="00A677E9" w:rsidP="002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 xml:space="preserve">Число НПР кафедры, участвующих в различных формах академической мобильности,  </w:t>
            </w:r>
            <w:r w:rsidR="00694EF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7E9" w:rsidRPr="002D0B81" w:rsidTr="00694EF1">
        <w:tc>
          <w:tcPr>
            <w:tcW w:w="3936" w:type="dxa"/>
          </w:tcPr>
          <w:p w:rsidR="00A677E9" w:rsidRPr="002D0B81" w:rsidRDefault="00A677E9" w:rsidP="001B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Численность зарубежных ведущих профессоров, преподавателей и исследователей</w:t>
            </w:r>
            <w:r w:rsidR="001B7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приглашаемых на кафедру в течени</w:t>
            </w:r>
            <w:r w:rsidR="001B7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 xml:space="preserve"> семестра, чел.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7E9" w:rsidRPr="002D0B81" w:rsidTr="00694EF1">
        <w:tc>
          <w:tcPr>
            <w:tcW w:w="3936" w:type="dxa"/>
          </w:tcPr>
          <w:p w:rsidR="00A677E9" w:rsidRPr="002D0B81" w:rsidRDefault="00A677E9" w:rsidP="0069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Количество НПР, прошедших отбор и включаемых в кадровый резерв деканов и зав. кафедр, чел.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9" w:rsidRPr="002D0B81" w:rsidRDefault="00A677E9" w:rsidP="002D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754F" w:rsidRDefault="0049754F" w:rsidP="002D0B81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54F" w:rsidRDefault="0049754F" w:rsidP="0049754F">
      <w:pPr>
        <w:rPr>
          <w:rFonts w:eastAsiaTheme="majorEastAsia"/>
          <w:color w:val="365F91" w:themeColor="accent1" w:themeShade="BF"/>
        </w:rPr>
      </w:pPr>
      <w:r>
        <w:br w:type="page"/>
      </w:r>
    </w:p>
    <w:p w:rsidR="002C572E" w:rsidRDefault="00EA24F6" w:rsidP="002D0B81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З</w:t>
      </w:r>
      <w:r w:rsidR="002C572E" w:rsidRPr="002D0B81">
        <w:rPr>
          <w:rFonts w:ascii="Times New Roman" w:hAnsi="Times New Roman" w:cs="Times New Roman"/>
          <w:sz w:val="24"/>
          <w:szCs w:val="24"/>
        </w:rPr>
        <w:t>а</w:t>
      </w:r>
      <w:r w:rsidRPr="002D0B81">
        <w:rPr>
          <w:rFonts w:ascii="Times New Roman" w:hAnsi="Times New Roman" w:cs="Times New Roman"/>
          <w:sz w:val="24"/>
          <w:szCs w:val="24"/>
        </w:rPr>
        <w:t>ключение</w:t>
      </w:r>
    </w:p>
    <w:p w:rsidR="0049754F" w:rsidRPr="0049754F" w:rsidRDefault="0049754F" w:rsidP="0049754F"/>
    <w:p w:rsidR="002C572E" w:rsidRPr="002D0B81" w:rsidRDefault="008E1927" w:rsidP="0008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Задач</w:t>
      </w:r>
      <w:r w:rsidR="00316034" w:rsidRPr="002D0B81">
        <w:rPr>
          <w:rFonts w:ascii="Times New Roman" w:hAnsi="Times New Roman" w:cs="Times New Roman"/>
          <w:sz w:val="24"/>
          <w:szCs w:val="24"/>
        </w:rPr>
        <w:t>ами</w:t>
      </w:r>
      <w:r w:rsidRPr="002D0B81">
        <w:rPr>
          <w:rFonts w:ascii="Times New Roman" w:hAnsi="Times New Roman" w:cs="Times New Roman"/>
          <w:sz w:val="24"/>
          <w:szCs w:val="24"/>
        </w:rPr>
        <w:t xml:space="preserve"> зав</w:t>
      </w:r>
      <w:r w:rsidR="00C43413" w:rsidRPr="002D0B81">
        <w:rPr>
          <w:rFonts w:ascii="Times New Roman" w:hAnsi="Times New Roman" w:cs="Times New Roman"/>
          <w:sz w:val="24"/>
          <w:szCs w:val="24"/>
        </w:rPr>
        <w:t xml:space="preserve">едующего </w:t>
      </w:r>
      <w:r w:rsidRPr="002D0B81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C43413" w:rsidRPr="002D0B8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16034" w:rsidRPr="002D0B81">
        <w:rPr>
          <w:rFonts w:ascii="Times New Roman" w:hAnsi="Times New Roman" w:cs="Times New Roman"/>
          <w:sz w:val="24"/>
          <w:szCs w:val="24"/>
        </w:rPr>
        <w:t>быть  во всем примером для своих сотруднико</w:t>
      </w:r>
      <w:r w:rsidR="00694EF1">
        <w:rPr>
          <w:rFonts w:ascii="Times New Roman" w:hAnsi="Times New Roman" w:cs="Times New Roman"/>
          <w:sz w:val="24"/>
          <w:szCs w:val="24"/>
        </w:rPr>
        <w:t>в</w:t>
      </w:r>
      <w:r w:rsidR="00316034" w:rsidRPr="002D0B81">
        <w:rPr>
          <w:rFonts w:ascii="Times New Roman" w:hAnsi="Times New Roman" w:cs="Times New Roman"/>
          <w:sz w:val="24"/>
          <w:szCs w:val="24"/>
        </w:rPr>
        <w:t xml:space="preserve">, способствовать  </w:t>
      </w:r>
      <w:r w:rsidRPr="002D0B81">
        <w:rPr>
          <w:rFonts w:ascii="Times New Roman" w:hAnsi="Times New Roman" w:cs="Times New Roman"/>
          <w:sz w:val="24"/>
          <w:szCs w:val="24"/>
        </w:rPr>
        <w:t>создани</w:t>
      </w:r>
      <w:r w:rsidR="00316034" w:rsidRPr="002D0B81">
        <w:rPr>
          <w:rFonts w:ascii="Times New Roman" w:hAnsi="Times New Roman" w:cs="Times New Roman"/>
          <w:sz w:val="24"/>
          <w:szCs w:val="24"/>
        </w:rPr>
        <w:t>ю</w:t>
      </w:r>
      <w:r w:rsidRPr="002D0B81">
        <w:rPr>
          <w:rFonts w:ascii="Times New Roman" w:hAnsi="Times New Roman" w:cs="Times New Roman"/>
          <w:sz w:val="24"/>
          <w:szCs w:val="24"/>
        </w:rPr>
        <w:t xml:space="preserve"> позитивной и творческой атмосферы  в коллективе,</w:t>
      </w:r>
      <w:r w:rsidR="00D03246" w:rsidRPr="002D0B81">
        <w:rPr>
          <w:rFonts w:ascii="Times New Roman" w:hAnsi="Times New Roman" w:cs="Times New Roman"/>
          <w:sz w:val="24"/>
          <w:szCs w:val="24"/>
        </w:rPr>
        <w:t xml:space="preserve"> </w:t>
      </w:r>
      <w:r w:rsidR="002C572E" w:rsidRPr="002D0B81">
        <w:rPr>
          <w:rFonts w:ascii="Times New Roman" w:hAnsi="Times New Roman" w:cs="Times New Roman"/>
          <w:sz w:val="24"/>
          <w:szCs w:val="24"/>
        </w:rPr>
        <w:t>сохранени</w:t>
      </w:r>
      <w:r w:rsidR="00316034" w:rsidRPr="002D0B81">
        <w:rPr>
          <w:rFonts w:ascii="Times New Roman" w:hAnsi="Times New Roman" w:cs="Times New Roman"/>
          <w:sz w:val="24"/>
          <w:szCs w:val="24"/>
        </w:rPr>
        <w:t>ю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 сложившихся на кафедре многолетних традиций</w:t>
      </w:r>
      <w:r w:rsidR="00316034" w:rsidRPr="002D0B81">
        <w:rPr>
          <w:rFonts w:ascii="Times New Roman" w:hAnsi="Times New Roman" w:cs="Times New Roman"/>
          <w:sz w:val="24"/>
          <w:szCs w:val="24"/>
        </w:rPr>
        <w:t xml:space="preserve"> </w:t>
      </w:r>
      <w:r w:rsidR="002C572E" w:rsidRPr="002D0B81">
        <w:rPr>
          <w:rFonts w:ascii="Times New Roman" w:hAnsi="Times New Roman" w:cs="Times New Roman"/>
          <w:sz w:val="24"/>
          <w:szCs w:val="24"/>
        </w:rPr>
        <w:t>взаимного уважения и ответственности за у</w:t>
      </w:r>
      <w:r w:rsidR="0049499F" w:rsidRPr="002D0B81">
        <w:rPr>
          <w:rFonts w:ascii="Times New Roman" w:hAnsi="Times New Roman" w:cs="Times New Roman"/>
          <w:sz w:val="24"/>
          <w:szCs w:val="24"/>
        </w:rPr>
        <w:t>чебный процесс и его результаты</w:t>
      </w:r>
      <w:r w:rsidRPr="002D0B81">
        <w:rPr>
          <w:rFonts w:ascii="Times New Roman" w:hAnsi="Times New Roman" w:cs="Times New Roman"/>
          <w:sz w:val="24"/>
          <w:szCs w:val="24"/>
        </w:rPr>
        <w:t>. Все это должно способствовать выполнению</w:t>
      </w:r>
      <w:r w:rsidR="0049499F" w:rsidRPr="002D0B81">
        <w:rPr>
          <w:rFonts w:ascii="Times New Roman" w:hAnsi="Times New Roman" w:cs="Times New Roman"/>
          <w:sz w:val="24"/>
          <w:szCs w:val="24"/>
        </w:rPr>
        <w:t xml:space="preserve"> эффективного контракта и </w:t>
      </w:r>
      <w:r w:rsidR="002C572E" w:rsidRPr="002D0B81">
        <w:rPr>
          <w:rFonts w:ascii="Times New Roman" w:hAnsi="Times New Roman" w:cs="Times New Roman"/>
          <w:sz w:val="24"/>
          <w:szCs w:val="24"/>
        </w:rPr>
        <w:t>поддержани</w:t>
      </w:r>
      <w:r w:rsidRPr="002D0B81">
        <w:rPr>
          <w:rFonts w:ascii="Times New Roman" w:hAnsi="Times New Roman" w:cs="Times New Roman"/>
          <w:sz w:val="24"/>
          <w:szCs w:val="24"/>
        </w:rPr>
        <w:t>ю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 достойной </w:t>
      </w:r>
      <w:r w:rsidRPr="002D0B81">
        <w:rPr>
          <w:rFonts w:ascii="Times New Roman" w:hAnsi="Times New Roman" w:cs="Times New Roman"/>
          <w:sz w:val="24"/>
          <w:szCs w:val="24"/>
        </w:rPr>
        <w:t xml:space="preserve">заработной 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платы труда </w:t>
      </w:r>
      <w:r w:rsidR="00316034" w:rsidRPr="002D0B81">
        <w:rPr>
          <w:rFonts w:ascii="Times New Roman" w:hAnsi="Times New Roman" w:cs="Times New Roman"/>
          <w:sz w:val="24"/>
          <w:szCs w:val="24"/>
        </w:rPr>
        <w:t>НП</w:t>
      </w:r>
      <w:r w:rsidR="0049499F" w:rsidRPr="002D0B81">
        <w:rPr>
          <w:rFonts w:ascii="Times New Roman" w:hAnsi="Times New Roman" w:cs="Times New Roman"/>
          <w:sz w:val="24"/>
          <w:szCs w:val="24"/>
        </w:rPr>
        <w:t>Р кафедры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 за счет раз</w:t>
      </w:r>
      <w:r w:rsidRPr="002D0B81">
        <w:rPr>
          <w:rFonts w:ascii="Times New Roman" w:hAnsi="Times New Roman" w:cs="Times New Roman"/>
          <w:sz w:val="24"/>
          <w:szCs w:val="24"/>
        </w:rPr>
        <w:t>в</w:t>
      </w:r>
      <w:r w:rsidR="002C572E" w:rsidRPr="002D0B81">
        <w:rPr>
          <w:rFonts w:ascii="Times New Roman" w:hAnsi="Times New Roman" w:cs="Times New Roman"/>
          <w:sz w:val="24"/>
          <w:szCs w:val="24"/>
        </w:rPr>
        <w:t>и</w:t>
      </w:r>
      <w:r w:rsidRPr="002D0B81">
        <w:rPr>
          <w:rFonts w:ascii="Times New Roman" w:hAnsi="Times New Roman" w:cs="Times New Roman"/>
          <w:sz w:val="24"/>
          <w:szCs w:val="24"/>
        </w:rPr>
        <w:t>тия основных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 видов деятельности</w:t>
      </w:r>
      <w:r w:rsidR="0049499F" w:rsidRPr="002D0B81">
        <w:rPr>
          <w:rFonts w:ascii="Times New Roman" w:hAnsi="Times New Roman" w:cs="Times New Roman"/>
          <w:sz w:val="24"/>
          <w:szCs w:val="24"/>
        </w:rPr>
        <w:t>,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 с привлечением молод</w:t>
      </w:r>
      <w:r w:rsidR="00D03246" w:rsidRPr="002D0B81">
        <w:rPr>
          <w:rFonts w:ascii="Times New Roman" w:hAnsi="Times New Roman" w:cs="Times New Roman"/>
          <w:sz w:val="24"/>
          <w:szCs w:val="24"/>
        </w:rPr>
        <w:t>ых кадров (бакалавров, магистров, аспирантов)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 к работе на кафедре</w:t>
      </w:r>
      <w:r w:rsidR="0049499F" w:rsidRPr="002D0B81">
        <w:rPr>
          <w:rFonts w:ascii="Times New Roman" w:hAnsi="Times New Roman" w:cs="Times New Roman"/>
          <w:sz w:val="24"/>
          <w:szCs w:val="24"/>
        </w:rPr>
        <w:t>,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 </w:t>
      </w:r>
      <w:r w:rsidRPr="002D0B81">
        <w:rPr>
          <w:rFonts w:ascii="Times New Roman" w:hAnsi="Times New Roman" w:cs="Times New Roman"/>
          <w:sz w:val="24"/>
          <w:szCs w:val="24"/>
        </w:rPr>
        <w:t>а также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 созданием </w:t>
      </w:r>
      <w:r w:rsidRPr="002D0B81">
        <w:rPr>
          <w:rFonts w:ascii="Times New Roman" w:hAnsi="Times New Roman" w:cs="Times New Roman"/>
          <w:sz w:val="24"/>
          <w:szCs w:val="24"/>
        </w:rPr>
        <w:t xml:space="preserve">на площадях кафедры </w:t>
      </w:r>
      <w:r w:rsidR="002C572E" w:rsidRPr="002D0B81">
        <w:rPr>
          <w:rFonts w:ascii="Times New Roman" w:hAnsi="Times New Roman" w:cs="Times New Roman"/>
          <w:sz w:val="24"/>
          <w:szCs w:val="24"/>
        </w:rPr>
        <w:t xml:space="preserve">комфортных </w:t>
      </w:r>
      <w:r w:rsidR="00D03246" w:rsidRPr="002D0B81">
        <w:rPr>
          <w:rFonts w:ascii="Times New Roman" w:hAnsi="Times New Roman" w:cs="Times New Roman"/>
          <w:sz w:val="24"/>
          <w:szCs w:val="24"/>
        </w:rPr>
        <w:t xml:space="preserve">и безопасных </w:t>
      </w:r>
      <w:r w:rsidR="002C572E" w:rsidRPr="002D0B81">
        <w:rPr>
          <w:rFonts w:ascii="Times New Roman" w:hAnsi="Times New Roman" w:cs="Times New Roman"/>
          <w:sz w:val="24"/>
          <w:szCs w:val="24"/>
        </w:rPr>
        <w:t>условий труда преподавателей</w:t>
      </w:r>
      <w:r w:rsidRPr="002D0B81">
        <w:rPr>
          <w:rFonts w:ascii="Times New Roman" w:hAnsi="Times New Roman" w:cs="Times New Roman"/>
          <w:sz w:val="24"/>
          <w:szCs w:val="24"/>
        </w:rPr>
        <w:t xml:space="preserve"> и студентов</w:t>
      </w:r>
      <w:r w:rsidR="002C572E" w:rsidRPr="002D0B81">
        <w:rPr>
          <w:rFonts w:ascii="Times New Roman" w:hAnsi="Times New Roman" w:cs="Times New Roman"/>
          <w:sz w:val="24"/>
          <w:szCs w:val="24"/>
        </w:rPr>
        <w:t>.</w:t>
      </w:r>
    </w:p>
    <w:p w:rsidR="00911EFF" w:rsidRPr="002D0B81" w:rsidRDefault="00911EFF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403" w:rsidRDefault="00475403" w:rsidP="002D0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D1" w:rsidRPr="002D0B81" w:rsidRDefault="006A71D1" w:rsidP="002D0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403" w:rsidRPr="002D0B81" w:rsidRDefault="006A71D1" w:rsidP="00497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</w:t>
      </w:r>
      <w:r w:rsidR="00475403" w:rsidRPr="002D0B81">
        <w:rPr>
          <w:rFonts w:ascii="Times New Roman" w:hAnsi="Times New Roman" w:cs="Times New Roman"/>
          <w:sz w:val="24"/>
          <w:szCs w:val="24"/>
        </w:rPr>
        <w:t xml:space="preserve"> на должность</w:t>
      </w:r>
    </w:p>
    <w:p w:rsidR="00475403" w:rsidRPr="002D0B81" w:rsidRDefault="00475403" w:rsidP="002D0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81">
        <w:rPr>
          <w:rFonts w:ascii="Times New Roman" w:hAnsi="Times New Roman" w:cs="Times New Roman"/>
          <w:sz w:val="24"/>
          <w:szCs w:val="24"/>
        </w:rPr>
        <w:t>заведующего кафедрой</w:t>
      </w:r>
      <w:r w:rsidRPr="002D0B81">
        <w:rPr>
          <w:rFonts w:ascii="Times New Roman" w:hAnsi="Times New Roman" w:cs="Times New Roman"/>
          <w:sz w:val="24"/>
          <w:szCs w:val="24"/>
        </w:rPr>
        <w:br/>
      </w:r>
      <w:r w:rsidRPr="002D0B81">
        <w:rPr>
          <w:rFonts w:ascii="Times New Roman" w:hAnsi="Times New Roman" w:cs="Times New Roman"/>
          <w:bCs/>
          <w:sz w:val="24"/>
          <w:szCs w:val="24"/>
        </w:rPr>
        <w:t>«</w:t>
      </w:r>
      <w:r w:rsidRPr="002D0B81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жизнедеятельности» </w:t>
      </w:r>
      <w:r w:rsidR="006A71D1">
        <w:rPr>
          <w:rFonts w:ascii="Times New Roman" w:hAnsi="Times New Roman" w:cs="Times New Roman"/>
          <w:sz w:val="24"/>
          <w:szCs w:val="24"/>
        </w:rPr>
        <w:t xml:space="preserve"> </w:t>
      </w:r>
      <w:r w:rsidRPr="002D0B81">
        <w:rPr>
          <w:rFonts w:ascii="Times New Roman" w:hAnsi="Times New Roman" w:cs="Times New Roman"/>
          <w:sz w:val="24"/>
          <w:szCs w:val="24"/>
        </w:rPr>
        <w:t>ПНИПУ     _________________     / Т.Г. Середа /</w:t>
      </w:r>
    </w:p>
    <w:p w:rsidR="00475403" w:rsidRPr="002D0B81" w:rsidRDefault="00475403" w:rsidP="002D0B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75403" w:rsidRPr="002D0B81" w:rsidSect="00EB65CA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CE" w:rsidRDefault="00D402CE" w:rsidP="00B414E1">
      <w:pPr>
        <w:spacing w:after="0" w:line="240" w:lineRule="auto"/>
      </w:pPr>
      <w:r>
        <w:separator/>
      </w:r>
    </w:p>
  </w:endnote>
  <w:endnote w:type="continuationSeparator" w:id="0">
    <w:p w:rsidR="00D402CE" w:rsidRDefault="00D402CE" w:rsidP="00B4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CE" w:rsidRDefault="00D402CE" w:rsidP="00B414E1">
      <w:pPr>
        <w:spacing w:after="0" w:line="240" w:lineRule="auto"/>
      </w:pPr>
      <w:r>
        <w:separator/>
      </w:r>
    </w:p>
  </w:footnote>
  <w:footnote w:type="continuationSeparator" w:id="0">
    <w:p w:rsidR="00D402CE" w:rsidRDefault="00D402CE" w:rsidP="00B4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383"/>
    </w:sdtPr>
    <w:sdtContent>
      <w:p w:rsidR="00A677E9" w:rsidRDefault="004B5591">
        <w:pPr>
          <w:pStyle w:val="a6"/>
          <w:jc w:val="right"/>
        </w:pPr>
        <w:fldSimple w:instr=" PAGE   \* MERGEFORMAT ">
          <w:r w:rsidR="006F3095">
            <w:rPr>
              <w:noProof/>
            </w:rPr>
            <w:t>9</w:t>
          </w:r>
        </w:fldSimple>
      </w:p>
    </w:sdtContent>
  </w:sdt>
  <w:p w:rsidR="00A677E9" w:rsidRDefault="00A677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3D7"/>
    <w:multiLevelType w:val="multilevel"/>
    <w:tmpl w:val="BCC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6392F"/>
    <w:multiLevelType w:val="multilevel"/>
    <w:tmpl w:val="F5DA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55156"/>
    <w:multiLevelType w:val="multilevel"/>
    <w:tmpl w:val="1ED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93D6F"/>
    <w:multiLevelType w:val="hybridMultilevel"/>
    <w:tmpl w:val="1AA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D7A"/>
    <w:rsid w:val="00011CA5"/>
    <w:rsid w:val="00036AA9"/>
    <w:rsid w:val="0004574A"/>
    <w:rsid w:val="00083FDC"/>
    <w:rsid w:val="00095702"/>
    <w:rsid w:val="000A1136"/>
    <w:rsid w:val="000C602F"/>
    <w:rsid w:val="000D7C86"/>
    <w:rsid w:val="000E57B8"/>
    <w:rsid w:val="00123D23"/>
    <w:rsid w:val="00161721"/>
    <w:rsid w:val="00182628"/>
    <w:rsid w:val="001B7D9D"/>
    <w:rsid w:val="001D2681"/>
    <w:rsid w:val="001E366F"/>
    <w:rsid w:val="001E3F99"/>
    <w:rsid w:val="001F7775"/>
    <w:rsid w:val="002246D5"/>
    <w:rsid w:val="0025118A"/>
    <w:rsid w:val="00267B22"/>
    <w:rsid w:val="00281EA2"/>
    <w:rsid w:val="002900C9"/>
    <w:rsid w:val="002B2E8F"/>
    <w:rsid w:val="002B43D2"/>
    <w:rsid w:val="002C572E"/>
    <w:rsid w:val="002C71C8"/>
    <w:rsid w:val="002D0B81"/>
    <w:rsid w:val="002F455C"/>
    <w:rsid w:val="002F6CD5"/>
    <w:rsid w:val="00316034"/>
    <w:rsid w:val="003557D3"/>
    <w:rsid w:val="0036548B"/>
    <w:rsid w:val="0037375B"/>
    <w:rsid w:val="00373953"/>
    <w:rsid w:val="00381055"/>
    <w:rsid w:val="00381851"/>
    <w:rsid w:val="00384310"/>
    <w:rsid w:val="00384466"/>
    <w:rsid w:val="00385A87"/>
    <w:rsid w:val="003B0653"/>
    <w:rsid w:val="004016BD"/>
    <w:rsid w:val="00403910"/>
    <w:rsid w:val="00422B00"/>
    <w:rsid w:val="004237BC"/>
    <w:rsid w:val="004637F4"/>
    <w:rsid w:val="0047195D"/>
    <w:rsid w:val="00475403"/>
    <w:rsid w:val="0049499F"/>
    <w:rsid w:val="0049754F"/>
    <w:rsid w:val="004B5591"/>
    <w:rsid w:val="004D2A51"/>
    <w:rsid w:val="00513244"/>
    <w:rsid w:val="00551F89"/>
    <w:rsid w:val="00564CAB"/>
    <w:rsid w:val="0059016B"/>
    <w:rsid w:val="005A24D5"/>
    <w:rsid w:val="005B06A8"/>
    <w:rsid w:val="005C431B"/>
    <w:rsid w:val="005D1349"/>
    <w:rsid w:val="005D185D"/>
    <w:rsid w:val="005D18E6"/>
    <w:rsid w:val="005D6B08"/>
    <w:rsid w:val="005E55B0"/>
    <w:rsid w:val="005E5770"/>
    <w:rsid w:val="00611D7A"/>
    <w:rsid w:val="00623F13"/>
    <w:rsid w:val="00631D4D"/>
    <w:rsid w:val="006336D1"/>
    <w:rsid w:val="00651F27"/>
    <w:rsid w:val="006550C1"/>
    <w:rsid w:val="00665843"/>
    <w:rsid w:val="00676D83"/>
    <w:rsid w:val="0067713C"/>
    <w:rsid w:val="00682894"/>
    <w:rsid w:val="00692795"/>
    <w:rsid w:val="00694EF1"/>
    <w:rsid w:val="006A1904"/>
    <w:rsid w:val="006A71D1"/>
    <w:rsid w:val="006C66A1"/>
    <w:rsid w:val="006D4CD1"/>
    <w:rsid w:val="006D72EE"/>
    <w:rsid w:val="006F3095"/>
    <w:rsid w:val="006F7073"/>
    <w:rsid w:val="007137B3"/>
    <w:rsid w:val="0071476D"/>
    <w:rsid w:val="00714DB4"/>
    <w:rsid w:val="007325B1"/>
    <w:rsid w:val="0073362D"/>
    <w:rsid w:val="00741FEE"/>
    <w:rsid w:val="00744C34"/>
    <w:rsid w:val="00764FD4"/>
    <w:rsid w:val="00772B63"/>
    <w:rsid w:val="007B03B5"/>
    <w:rsid w:val="007C0A10"/>
    <w:rsid w:val="007F618B"/>
    <w:rsid w:val="00822216"/>
    <w:rsid w:val="00827149"/>
    <w:rsid w:val="00833D1C"/>
    <w:rsid w:val="00846863"/>
    <w:rsid w:val="008924AB"/>
    <w:rsid w:val="008C4C06"/>
    <w:rsid w:val="008E1927"/>
    <w:rsid w:val="008E75CB"/>
    <w:rsid w:val="008F06BB"/>
    <w:rsid w:val="00900042"/>
    <w:rsid w:val="00900708"/>
    <w:rsid w:val="00911EFF"/>
    <w:rsid w:val="0092045B"/>
    <w:rsid w:val="00930A6B"/>
    <w:rsid w:val="00951B9B"/>
    <w:rsid w:val="00966492"/>
    <w:rsid w:val="00971C8A"/>
    <w:rsid w:val="009B657D"/>
    <w:rsid w:val="00A15E98"/>
    <w:rsid w:val="00A677E9"/>
    <w:rsid w:val="00A709CF"/>
    <w:rsid w:val="00A72F0A"/>
    <w:rsid w:val="00AB3A10"/>
    <w:rsid w:val="00AC5BC0"/>
    <w:rsid w:val="00AC73DA"/>
    <w:rsid w:val="00B03BAD"/>
    <w:rsid w:val="00B0707C"/>
    <w:rsid w:val="00B10436"/>
    <w:rsid w:val="00B414E1"/>
    <w:rsid w:val="00B54292"/>
    <w:rsid w:val="00B60C31"/>
    <w:rsid w:val="00B93B37"/>
    <w:rsid w:val="00BA1579"/>
    <w:rsid w:val="00BC53DD"/>
    <w:rsid w:val="00BD0197"/>
    <w:rsid w:val="00BD1BBB"/>
    <w:rsid w:val="00BD6A61"/>
    <w:rsid w:val="00BE4BAF"/>
    <w:rsid w:val="00BF3A70"/>
    <w:rsid w:val="00C070D0"/>
    <w:rsid w:val="00C26F30"/>
    <w:rsid w:val="00C43413"/>
    <w:rsid w:val="00C773DD"/>
    <w:rsid w:val="00C832FD"/>
    <w:rsid w:val="00CA4EC3"/>
    <w:rsid w:val="00CB3D10"/>
    <w:rsid w:val="00CE4917"/>
    <w:rsid w:val="00D03246"/>
    <w:rsid w:val="00D402CE"/>
    <w:rsid w:val="00D94365"/>
    <w:rsid w:val="00DB7E10"/>
    <w:rsid w:val="00DE4739"/>
    <w:rsid w:val="00E3172A"/>
    <w:rsid w:val="00E4570A"/>
    <w:rsid w:val="00E45E4E"/>
    <w:rsid w:val="00E4749B"/>
    <w:rsid w:val="00E53155"/>
    <w:rsid w:val="00E63A80"/>
    <w:rsid w:val="00E9081B"/>
    <w:rsid w:val="00EA24F6"/>
    <w:rsid w:val="00EB0B28"/>
    <w:rsid w:val="00EB65CA"/>
    <w:rsid w:val="00EE2DE3"/>
    <w:rsid w:val="00F11712"/>
    <w:rsid w:val="00F479F4"/>
    <w:rsid w:val="00F6516B"/>
    <w:rsid w:val="00F740E9"/>
    <w:rsid w:val="00F834BA"/>
    <w:rsid w:val="00F90EAF"/>
    <w:rsid w:val="00F97223"/>
    <w:rsid w:val="00FA5049"/>
    <w:rsid w:val="00FC4AA3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55"/>
  </w:style>
  <w:style w:type="paragraph" w:styleId="1">
    <w:name w:val="heading 1"/>
    <w:basedOn w:val="a"/>
    <w:next w:val="a"/>
    <w:link w:val="10"/>
    <w:uiPriority w:val="9"/>
    <w:qFormat/>
    <w:rsid w:val="008E1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11D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D7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11D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1D7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1D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B4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14E1"/>
  </w:style>
  <w:style w:type="paragraph" w:styleId="a8">
    <w:name w:val="footer"/>
    <w:basedOn w:val="a"/>
    <w:link w:val="a9"/>
    <w:uiPriority w:val="99"/>
    <w:unhideWhenUsed/>
    <w:rsid w:val="00B4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4E1"/>
  </w:style>
  <w:style w:type="paragraph" w:styleId="aa">
    <w:name w:val="Balloon Text"/>
    <w:basedOn w:val="a"/>
    <w:link w:val="ab"/>
    <w:uiPriority w:val="99"/>
    <w:semiHidden/>
    <w:unhideWhenUsed/>
    <w:rsid w:val="00B4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14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22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22B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7F6D-F953-4E62-BF12-B98F933F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</dc:creator>
  <cp:keywords/>
  <dc:description/>
  <cp:lastModifiedBy>ksn</cp:lastModifiedBy>
  <cp:revision>7</cp:revision>
  <cp:lastPrinted>2017-02-09T15:46:00Z</cp:lastPrinted>
  <dcterms:created xsi:type="dcterms:W3CDTF">2017-02-09T15:39:00Z</dcterms:created>
  <dcterms:modified xsi:type="dcterms:W3CDTF">2017-02-09T15:47:00Z</dcterms:modified>
</cp:coreProperties>
</file>